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DD9E" w14:textId="77777777" w:rsidR="00AF63A5" w:rsidRDefault="00AF63A5" w:rsidP="00AF63A5">
      <w:pPr>
        <w:pStyle w:val="BlockText"/>
        <w:spacing w:before="0" w:after="0"/>
        <w:jc w:val="center"/>
        <w:rPr>
          <w:rFonts w:asciiTheme="minorHAnsi" w:hAnsiTheme="minorHAnsi" w:cs="Arial"/>
          <w:sz w:val="22"/>
          <w:szCs w:val="22"/>
        </w:rPr>
      </w:pPr>
    </w:p>
    <w:p w14:paraId="3292DD9F" w14:textId="77777777" w:rsidR="00AF63A5" w:rsidRDefault="00AF63A5" w:rsidP="00AF63A5">
      <w:pPr>
        <w:pStyle w:val="BlockText"/>
        <w:spacing w:before="0" w:after="0"/>
        <w:jc w:val="center"/>
        <w:rPr>
          <w:rFonts w:asciiTheme="minorHAnsi" w:hAnsiTheme="minorHAnsi" w:cs="Arial"/>
          <w:sz w:val="22"/>
          <w:szCs w:val="22"/>
        </w:rPr>
      </w:pPr>
    </w:p>
    <w:p w14:paraId="3292DDA0" w14:textId="77777777" w:rsidR="00AF63A5" w:rsidRDefault="00AF63A5" w:rsidP="00AF63A5">
      <w:pPr>
        <w:pStyle w:val="BlockText"/>
        <w:spacing w:before="0" w:after="0"/>
        <w:jc w:val="center"/>
        <w:rPr>
          <w:rFonts w:asciiTheme="minorHAnsi" w:hAnsiTheme="minorHAnsi" w:cs="Arial"/>
          <w:sz w:val="22"/>
          <w:szCs w:val="22"/>
        </w:rPr>
      </w:pPr>
    </w:p>
    <w:p w14:paraId="3292DDA1" w14:textId="77777777" w:rsidR="00AF63A5" w:rsidRDefault="00AF63A5" w:rsidP="00AF63A5">
      <w:pPr>
        <w:pStyle w:val="BlockText"/>
        <w:spacing w:before="0" w:after="0"/>
        <w:jc w:val="center"/>
        <w:rPr>
          <w:rFonts w:asciiTheme="minorHAnsi" w:hAnsiTheme="minorHAnsi" w:cs="Arial"/>
          <w:sz w:val="22"/>
          <w:szCs w:val="22"/>
        </w:rPr>
      </w:pPr>
    </w:p>
    <w:tbl>
      <w:tblPr>
        <w:tblStyle w:val="DIATable"/>
        <w:tblpPr w:leftFromText="180" w:rightFromText="180" w:vertAnchor="page" w:horzAnchor="margin" w:tblpXSpec="center" w:tblpY="146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533"/>
      </w:tblGrid>
      <w:tr w:rsidR="00AF63A5" w:rsidRPr="001D5B98" w14:paraId="3292DDA5" w14:textId="77777777" w:rsidTr="008977B1">
        <w:trPr>
          <w:cnfStyle w:val="100000000000" w:firstRow="1" w:lastRow="0" w:firstColumn="0" w:lastColumn="0" w:oddVBand="0" w:evenVBand="0" w:oddHBand="0" w:evenHBand="0" w:firstRowFirstColumn="0" w:firstRowLastColumn="0" w:lastRowFirstColumn="0" w:lastRowLastColumn="0"/>
          <w:trHeight w:val="1206"/>
        </w:trPr>
        <w:tc>
          <w:tcPr>
            <w:tcW w:w="1696" w:type="dxa"/>
            <w:tcBorders>
              <w:top w:val="nil"/>
              <w:left w:val="nil"/>
              <w:right w:val="single" w:sz="4" w:space="0" w:color="auto"/>
            </w:tcBorders>
            <w:shd w:val="clear" w:color="auto" w:fill="auto"/>
            <w:hideMark/>
          </w:tcPr>
          <w:p w14:paraId="3292DDA2" w14:textId="77777777" w:rsidR="00AF63A5" w:rsidRDefault="00AF63A5" w:rsidP="008977B1">
            <w:pPr>
              <w:spacing w:line="280" w:lineRule="atLeast"/>
              <w:jc w:val="center"/>
              <w:rPr>
                <w:rFonts w:ascii="Times New Roman" w:eastAsia="Times New Roman" w:hAnsi="Times New Roman" w:cs="Times New Roman"/>
                <w:b w:val="0"/>
                <w:sz w:val="24"/>
              </w:rPr>
            </w:pPr>
            <w:r>
              <w:rPr>
                <w:rFonts w:ascii="Times New Roman" w:hAnsi="Times New Roman"/>
                <w:noProof/>
                <w:lang w:eastAsia="en-NZ"/>
              </w:rPr>
              <w:drawing>
                <wp:inline distT="0" distB="0" distL="0" distR="0" wp14:anchorId="3292DEAC" wp14:editId="3292DEAD">
                  <wp:extent cx="892175" cy="7239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723900"/>
                          </a:xfrm>
                          <a:prstGeom prst="rect">
                            <a:avLst/>
                          </a:prstGeom>
                          <a:noFill/>
                          <a:ln>
                            <a:noFill/>
                          </a:ln>
                        </pic:spPr>
                      </pic:pic>
                    </a:graphicData>
                  </a:graphic>
                </wp:inline>
              </w:drawing>
            </w:r>
          </w:p>
        </w:tc>
        <w:tc>
          <w:tcPr>
            <w:tcW w:w="3533" w:type="dxa"/>
            <w:tcBorders>
              <w:top w:val="nil"/>
              <w:left w:val="single" w:sz="4" w:space="0" w:color="auto"/>
              <w:right w:val="nil"/>
            </w:tcBorders>
            <w:shd w:val="clear" w:color="auto" w:fill="auto"/>
            <w:vAlign w:val="center"/>
            <w:hideMark/>
          </w:tcPr>
          <w:p w14:paraId="3292DDA3" w14:textId="77777777" w:rsidR="00AF63A5" w:rsidRPr="001D5B98" w:rsidRDefault="00AF63A5" w:rsidP="008977B1">
            <w:pPr>
              <w:pStyle w:val="Heading1"/>
              <w:spacing w:before="0"/>
              <w:outlineLvl w:val="0"/>
              <w:rPr>
                <w:rFonts w:ascii="Times New Roman" w:hAnsi="Times New Roman" w:cs="Times New Roman"/>
                <w:b/>
                <w:color w:val="auto"/>
                <w:sz w:val="24"/>
                <w:szCs w:val="24"/>
              </w:rPr>
            </w:pPr>
            <w:r w:rsidRPr="001D5B98">
              <w:rPr>
                <w:rFonts w:ascii="Times New Roman" w:hAnsi="Times New Roman" w:cs="Times New Roman"/>
                <w:b/>
                <w:color w:val="auto"/>
                <w:sz w:val="24"/>
                <w:szCs w:val="24"/>
              </w:rPr>
              <w:t>Local Government Commission</w:t>
            </w:r>
          </w:p>
          <w:p w14:paraId="3292DDA4" w14:textId="77777777" w:rsidR="00AF63A5" w:rsidRPr="001D5B98" w:rsidRDefault="00AF63A5" w:rsidP="008977B1">
            <w:pPr>
              <w:pStyle w:val="Title"/>
              <w:jc w:val="left"/>
              <w:rPr>
                <w:rFonts w:ascii="Times New Roman" w:hAnsi="Times New Roman"/>
                <w:b/>
                <w:color w:val="auto"/>
                <w:sz w:val="24"/>
                <w:szCs w:val="24"/>
              </w:rPr>
            </w:pPr>
            <w:r w:rsidRPr="001D5B98">
              <w:rPr>
                <w:rFonts w:ascii="Times New Roman" w:hAnsi="Times New Roman"/>
                <w:b/>
                <w:color w:val="auto"/>
                <w:sz w:val="24"/>
                <w:szCs w:val="24"/>
              </w:rPr>
              <w:t xml:space="preserve">Mana </w:t>
            </w:r>
            <w:proofErr w:type="spellStart"/>
            <w:r w:rsidRPr="001D5B98">
              <w:rPr>
                <w:rFonts w:ascii="Times New Roman" w:hAnsi="Times New Roman"/>
                <w:b/>
                <w:color w:val="auto"/>
                <w:sz w:val="24"/>
                <w:szCs w:val="24"/>
              </w:rPr>
              <w:t>Kāwanatanga</w:t>
            </w:r>
            <w:proofErr w:type="spellEnd"/>
            <w:r w:rsidRPr="001D5B98">
              <w:rPr>
                <w:rFonts w:ascii="Times New Roman" w:hAnsi="Times New Roman"/>
                <w:b/>
                <w:color w:val="auto"/>
                <w:sz w:val="24"/>
                <w:szCs w:val="24"/>
              </w:rPr>
              <w:t xml:space="preserve"> ā </w:t>
            </w:r>
            <w:proofErr w:type="spellStart"/>
            <w:r w:rsidRPr="001D5B98">
              <w:rPr>
                <w:rFonts w:ascii="Times New Roman" w:hAnsi="Times New Roman"/>
                <w:b/>
                <w:color w:val="auto"/>
                <w:sz w:val="24"/>
                <w:szCs w:val="24"/>
              </w:rPr>
              <w:t>Rohe</w:t>
            </w:r>
            <w:proofErr w:type="spellEnd"/>
          </w:p>
        </w:tc>
      </w:tr>
    </w:tbl>
    <w:p w14:paraId="3292DDA6" w14:textId="77777777" w:rsidR="00AF63A5" w:rsidRDefault="00AF63A5" w:rsidP="00AF63A5">
      <w:pPr>
        <w:spacing w:after="120"/>
        <w:ind w:firstLine="567"/>
        <w:jc w:val="center"/>
        <w:rPr>
          <w:b/>
          <w:sz w:val="28"/>
          <w:szCs w:val="28"/>
        </w:rPr>
      </w:pPr>
    </w:p>
    <w:p w14:paraId="3292DDA7" w14:textId="77777777" w:rsidR="00AF63A5" w:rsidRDefault="00AF63A5" w:rsidP="00AF63A5">
      <w:pPr>
        <w:spacing w:after="120"/>
        <w:ind w:firstLine="567"/>
        <w:jc w:val="center"/>
        <w:rPr>
          <w:b/>
          <w:sz w:val="28"/>
          <w:szCs w:val="28"/>
        </w:rPr>
      </w:pPr>
      <w:r>
        <w:rPr>
          <w:b/>
          <w:sz w:val="28"/>
          <w:szCs w:val="28"/>
        </w:rPr>
        <w:t>Determination</w:t>
      </w:r>
    </w:p>
    <w:p w14:paraId="3292DDA8" w14:textId="4CDBABFE" w:rsidR="00AF63A5" w:rsidRDefault="00AF63A5" w:rsidP="00AF63A5">
      <w:pPr>
        <w:jc w:val="center"/>
      </w:pPr>
      <w:r>
        <w:t>of representation arrangements to apply for</w:t>
      </w:r>
      <w:r>
        <w:br/>
        <w:t xml:space="preserve">the election of </w:t>
      </w:r>
      <w:r w:rsidR="00AF354D">
        <w:t xml:space="preserve">Kaipara </w:t>
      </w:r>
      <w:r>
        <w:t>District Council</w:t>
      </w:r>
      <w:r>
        <w:br/>
        <w:t>to be held on 12 October 2019</w:t>
      </w:r>
    </w:p>
    <w:p w14:paraId="3292DDA9" w14:textId="77777777" w:rsidR="00AF63A5" w:rsidRDefault="00AF63A5" w:rsidP="00AF63A5">
      <w:pPr>
        <w:jc w:val="center"/>
      </w:pPr>
    </w:p>
    <w:p w14:paraId="3292DDAA" w14:textId="77777777" w:rsidR="00AF63A5" w:rsidRPr="009D3695" w:rsidRDefault="00AF63A5" w:rsidP="00AF63A5">
      <w:pPr>
        <w:pStyle w:val="Heading3"/>
        <w:tabs>
          <w:tab w:val="left" w:pos="8080"/>
        </w:tabs>
        <w:spacing w:before="0"/>
        <w:jc w:val="both"/>
        <w:rPr>
          <w:rFonts w:asciiTheme="minorHAnsi" w:hAnsiTheme="minorHAnsi"/>
          <w:szCs w:val="28"/>
        </w:rPr>
      </w:pPr>
      <w:r w:rsidRPr="009D3695">
        <w:rPr>
          <w:rFonts w:asciiTheme="minorHAnsi" w:hAnsiTheme="minorHAnsi"/>
          <w:szCs w:val="28"/>
        </w:rPr>
        <w:t>Background</w:t>
      </w:r>
    </w:p>
    <w:p w14:paraId="3292DDAB" w14:textId="77777777" w:rsidR="00AF63A5" w:rsidRPr="00006B0F" w:rsidRDefault="00AF63A5" w:rsidP="00AF63A5">
      <w:pPr>
        <w:pStyle w:val="ListParagraph"/>
        <w:keepLines w:val="0"/>
        <w:numPr>
          <w:ilvl w:val="0"/>
          <w:numId w:val="25"/>
        </w:numPr>
        <w:ind w:left="567" w:hanging="567"/>
        <w:rPr>
          <w:rFonts w:asciiTheme="minorHAnsi" w:hAnsiTheme="minorHAnsi" w:cs="Arial"/>
        </w:rPr>
      </w:pPr>
      <w:r w:rsidRPr="00006B0F">
        <w:rPr>
          <w:rFonts w:asciiTheme="minorHAnsi" w:hAnsiTheme="minorHAnsi" w:cs="Arial"/>
        </w:rPr>
        <w:t xml:space="preserve">All territorial authorities are required under sections 19H and 19J of the Local Electoral Act 2001 (the Act) to review their representation arrangements at least every six years.  These reviews are to determine the number of councillors to be elected, the basis of election for councillors and, if this includes wards, the boundaries and names of those wards.  Reviews also include whether there are to be community boards and, if so, membership arrangements for those boards.  Representation arrangements are to be determined </w:t>
      </w:r>
      <w:proofErr w:type="gramStart"/>
      <w:r w:rsidRPr="00006B0F">
        <w:rPr>
          <w:rFonts w:asciiTheme="minorHAnsi" w:hAnsiTheme="minorHAnsi" w:cs="Arial"/>
        </w:rPr>
        <w:t>so as to</w:t>
      </w:r>
      <w:proofErr w:type="gramEnd"/>
      <w:r w:rsidRPr="00006B0F">
        <w:rPr>
          <w:rFonts w:asciiTheme="minorHAnsi" w:hAnsiTheme="minorHAnsi" w:cs="Arial"/>
        </w:rPr>
        <w:t xml:space="preserve"> provide fair and effective representation for individuals and communities.</w:t>
      </w:r>
    </w:p>
    <w:p w14:paraId="3292DDAC" w14:textId="498F74FC" w:rsidR="00AF63A5" w:rsidRPr="00006B0F" w:rsidRDefault="00AF63A5" w:rsidP="00AF63A5">
      <w:pPr>
        <w:pStyle w:val="ListParagraph"/>
        <w:keepLines w:val="0"/>
        <w:numPr>
          <w:ilvl w:val="0"/>
          <w:numId w:val="25"/>
        </w:numPr>
        <w:ind w:left="567" w:hanging="567"/>
        <w:rPr>
          <w:rFonts w:asciiTheme="minorHAnsi" w:hAnsiTheme="minorHAnsi" w:cs="Arial"/>
        </w:rPr>
      </w:pPr>
      <w:r w:rsidRPr="00006B0F">
        <w:rPr>
          <w:rFonts w:asciiTheme="minorHAnsi" w:hAnsiTheme="minorHAnsi" w:cs="Arial"/>
        </w:rPr>
        <w:t xml:space="preserve">The </w:t>
      </w:r>
      <w:r w:rsidR="00AF354D">
        <w:rPr>
          <w:rFonts w:asciiTheme="minorHAnsi" w:hAnsiTheme="minorHAnsi" w:cs="Arial"/>
        </w:rPr>
        <w:t>Kaipara</w:t>
      </w:r>
      <w:r w:rsidRPr="00006B0F">
        <w:rPr>
          <w:rFonts w:asciiTheme="minorHAnsi" w:hAnsiTheme="minorHAnsi" w:cs="Arial"/>
        </w:rPr>
        <w:t xml:space="preserve"> </w:t>
      </w:r>
      <w:r>
        <w:rPr>
          <w:rFonts w:asciiTheme="minorHAnsi" w:hAnsiTheme="minorHAnsi" w:cs="Arial"/>
        </w:rPr>
        <w:t>District</w:t>
      </w:r>
      <w:r w:rsidRPr="00006B0F">
        <w:rPr>
          <w:rFonts w:asciiTheme="minorHAnsi" w:hAnsiTheme="minorHAnsi" w:cs="Arial"/>
        </w:rPr>
        <w:t xml:space="preserve"> Council (the </w:t>
      </w:r>
      <w:r>
        <w:rPr>
          <w:rFonts w:asciiTheme="minorHAnsi" w:hAnsiTheme="minorHAnsi" w:cs="Arial"/>
        </w:rPr>
        <w:t>c</w:t>
      </w:r>
      <w:r w:rsidRPr="00006B0F">
        <w:rPr>
          <w:rFonts w:asciiTheme="minorHAnsi" w:hAnsiTheme="minorHAnsi" w:cs="Arial"/>
        </w:rPr>
        <w:t>ouncil) last reviewed its representation arrangements prior to the 2013 local authority elections.</w:t>
      </w:r>
      <w:r w:rsidR="00AF354D">
        <w:rPr>
          <w:rStyle w:val="FootnoteReference"/>
          <w:rFonts w:cs="Arial"/>
        </w:rPr>
        <w:footnoteReference w:id="1"/>
      </w:r>
      <w:r w:rsidRPr="00006B0F">
        <w:rPr>
          <w:rFonts w:asciiTheme="minorHAnsi" w:hAnsiTheme="minorHAnsi" w:cs="Arial"/>
        </w:rPr>
        <w:t xml:space="preserve">  Therefore</w:t>
      </w:r>
      <w:r>
        <w:rPr>
          <w:rFonts w:asciiTheme="minorHAnsi" w:hAnsiTheme="minorHAnsi" w:cs="Arial"/>
        </w:rPr>
        <w:t>,</w:t>
      </w:r>
      <w:r w:rsidRPr="00006B0F">
        <w:rPr>
          <w:rFonts w:asciiTheme="minorHAnsi" w:hAnsiTheme="minorHAnsi" w:cs="Arial"/>
        </w:rPr>
        <w:t xml:space="preserve"> it was required to undertake a review prior to the next elections in October 2019.</w:t>
      </w:r>
    </w:p>
    <w:p w14:paraId="3292DDAD" w14:textId="575A816E" w:rsidR="00AF63A5" w:rsidRPr="00006B0F" w:rsidRDefault="00AF63A5" w:rsidP="00AF63A5">
      <w:pPr>
        <w:pStyle w:val="ListParagraph"/>
        <w:keepLines w:val="0"/>
        <w:numPr>
          <w:ilvl w:val="0"/>
          <w:numId w:val="25"/>
        </w:numPr>
        <w:ind w:left="567" w:hanging="567"/>
        <w:rPr>
          <w:rFonts w:asciiTheme="minorHAnsi" w:hAnsiTheme="minorHAnsi" w:cs="Arial"/>
        </w:rPr>
      </w:pPr>
      <w:r w:rsidRPr="00006B0F">
        <w:t>At the time</w:t>
      </w:r>
      <w:r>
        <w:t xml:space="preserve"> of the last review</w:t>
      </w:r>
      <w:r w:rsidRPr="00006B0F">
        <w:t xml:space="preserve">, the </w:t>
      </w:r>
      <w:r>
        <w:t>c</w:t>
      </w:r>
      <w:r w:rsidRPr="00006B0F">
        <w:t>ouncil’s initial proposal</w:t>
      </w:r>
      <w:r>
        <w:t xml:space="preserve"> wa</w:t>
      </w:r>
      <w:r w:rsidRPr="00006B0F">
        <w:t xml:space="preserve">s </w:t>
      </w:r>
      <w:r w:rsidR="00AF354D">
        <w:t xml:space="preserve">to retain the existing three wards but to add an additional councillor </w:t>
      </w:r>
      <w:proofErr w:type="gramStart"/>
      <w:r w:rsidR="00AF354D">
        <w:t>in order to</w:t>
      </w:r>
      <w:proofErr w:type="gramEnd"/>
      <w:r w:rsidR="00AF354D">
        <w:t xml:space="preserve"> comply with statutory fair representation requirements. The initial proposal was also for there to continue to be no community boards in the district.</w:t>
      </w:r>
      <w:r w:rsidR="00334557">
        <w:t xml:space="preserve"> Fo</w:t>
      </w:r>
      <w:r>
        <w:t>llo</w:t>
      </w:r>
      <w:r w:rsidR="00334557">
        <w:t xml:space="preserve">wing the consideration of submissions on its initial proposal, the council resolved to amend its proposal by retaining the existing eight councillors and to alter the boundary between two wards </w:t>
      </w:r>
      <w:proofErr w:type="gramStart"/>
      <w:r w:rsidR="00334557">
        <w:t>in order to</w:t>
      </w:r>
      <w:proofErr w:type="gramEnd"/>
      <w:r w:rsidR="00334557">
        <w:t xml:space="preserve"> comply with </w:t>
      </w:r>
      <w:r w:rsidR="001D5B98">
        <w:t xml:space="preserve">statutory </w:t>
      </w:r>
      <w:r w:rsidR="00334557">
        <w:t>fair representation requirements.</w:t>
      </w:r>
      <w:r>
        <w:t xml:space="preserve"> </w:t>
      </w:r>
      <w:r w:rsidR="00334557">
        <w:t>One</w:t>
      </w:r>
      <w:r>
        <w:t xml:space="preserve"> appeal</w:t>
      </w:r>
      <w:r w:rsidR="00334557">
        <w:t xml:space="preserve"> again</w:t>
      </w:r>
      <w:r>
        <w:t>s</w:t>
      </w:r>
      <w:r w:rsidR="00334557">
        <w:t xml:space="preserve">t the council’s proposal was </w:t>
      </w:r>
      <w:r>
        <w:t>received.</w:t>
      </w:r>
    </w:p>
    <w:p w14:paraId="3292DDAE" w14:textId="25AD4CE6" w:rsidR="00AF63A5" w:rsidRPr="00EF1955" w:rsidRDefault="00334557" w:rsidP="00AF63A5">
      <w:pPr>
        <w:pStyle w:val="ListParagraph"/>
        <w:keepLines w:val="0"/>
        <w:numPr>
          <w:ilvl w:val="0"/>
          <w:numId w:val="25"/>
        </w:numPr>
        <w:spacing w:after="120"/>
        <w:ind w:left="567" w:hanging="567"/>
        <w:rPr>
          <w:rFonts w:asciiTheme="minorHAnsi" w:hAnsiTheme="minorHAnsi" w:cs="Arial"/>
        </w:rPr>
      </w:pPr>
      <w:r>
        <w:t>After considering the appeal</w:t>
      </w:r>
      <w:r w:rsidR="00AF63A5">
        <w:t>, the Commission endorsed the c</w:t>
      </w:r>
      <w:r w:rsidR="00AF63A5" w:rsidRPr="00006B0F">
        <w:t>ouncil</w:t>
      </w:r>
      <w:r w:rsidR="00AF63A5">
        <w:t xml:space="preserve">’s proposal for </w:t>
      </w:r>
      <w:r>
        <w:t>a council comprising the mayor and eight c</w:t>
      </w:r>
      <w:r w:rsidR="00AF63A5">
        <w:t>ouncillors elected from three wards</w:t>
      </w:r>
      <w:r w:rsidR="007056E2">
        <w:t>, and for there to be no community boards</w:t>
      </w:r>
      <w:r w:rsidR="00AF63A5">
        <w:t>.</w:t>
      </w:r>
      <w:r w:rsidR="00AF63A5" w:rsidRPr="00063A3D">
        <w:t xml:space="preserve"> </w:t>
      </w:r>
      <w:r w:rsidR="00AF63A5">
        <w:t xml:space="preserve">As a result, the ward arrangements for the </w:t>
      </w:r>
      <w:r w:rsidR="00AF63A5" w:rsidRPr="00006B0F">
        <w:t>2016 elections</w:t>
      </w:r>
      <w:r w:rsidR="00AF63A5">
        <w:t xml:space="preserve"> were as set out in the following table.</w:t>
      </w:r>
    </w:p>
    <w:tbl>
      <w:tblPr>
        <w:tblStyle w:val="DIATable"/>
        <w:tblW w:w="9091" w:type="dxa"/>
        <w:tblLook w:val="04A0" w:firstRow="1" w:lastRow="0" w:firstColumn="1" w:lastColumn="0" w:noHBand="0" w:noVBand="1"/>
      </w:tblPr>
      <w:tblGrid>
        <w:gridCol w:w="1988"/>
        <w:gridCol w:w="1327"/>
        <w:gridCol w:w="1273"/>
        <w:gridCol w:w="1274"/>
        <w:gridCol w:w="1528"/>
        <w:gridCol w:w="1701"/>
      </w:tblGrid>
      <w:tr w:rsidR="00AF63A5" w:rsidRPr="004218DE" w14:paraId="3292DDB5" w14:textId="77777777" w:rsidTr="008977B1">
        <w:trPr>
          <w:cnfStyle w:val="100000000000" w:firstRow="1" w:lastRow="0" w:firstColumn="0" w:lastColumn="0" w:oddVBand="0" w:evenVBand="0" w:oddHBand="0" w:evenHBand="0" w:firstRowFirstColumn="0" w:firstRowLastColumn="0" w:lastRowFirstColumn="0" w:lastRowLastColumn="0"/>
        </w:trPr>
        <w:tc>
          <w:tcPr>
            <w:tcW w:w="1988" w:type="dxa"/>
          </w:tcPr>
          <w:p w14:paraId="3292DDAF" w14:textId="77777777" w:rsidR="00AF63A5" w:rsidRPr="004218DE" w:rsidRDefault="00AF63A5" w:rsidP="008977B1">
            <w:pPr>
              <w:ind w:left="360"/>
              <w:jc w:val="center"/>
              <w:rPr>
                <w:sz w:val="20"/>
                <w:szCs w:val="20"/>
              </w:rPr>
            </w:pPr>
            <w:r w:rsidRPr="004218DE">
              <w:rPr>
                <w:sz w:val="20"/>
                <w:szCs w:val="20"/>
              </w:rPr>
              <w:lastRenderedPageBreak/>
              <w:t>Ward</w:t>
            </w:r>
          </w:p>
        </w:tc>
        <w:tc>
          <w:tcPr>
            <w:tcW w:w="1327" w:type="dxa"/>
          </w:tcPr>
          <w:p w14:paraId="3292DDB0" w14:textId="77777777" w:rsidR="00AF63A5" w:rsidRPr="004218DE" w:rsidRDefault="00AF63A5" w:rsidP="008977B1">
            <w:pPr>
              <w:jc w:val="center"/>
              <w:rPr>
                <w:sz w:val="20"/>
                <w:szCs w:val="20"/>
              </w:rPr>
            </w:pPr>
            <w:r w:rsidRPr="004218DE">
              <w:rPr>
                <w:sz w:val="20"/>
                <w:szCs w:val="20"/>
              </w:rPr>
              <w:t>Population*</w:t>
            </w:r>
          </w:p>
        </w:tc>
        <w:tc>
          <w:tcPr>
            <w:tcW w:w="1273" w:type="dxa"/>
          </w:tcPr>
          <w:p w14:paraId="3292DDB1" w14:textId="77777777" w:rsidR="00AF63A5" w:rsidRPr="004218DE" w:rsidRDefault="00AF63A5" w:rsidP="008977B1">
            <w:pPr>
              <w:jc w:val="center"/>
              <w:rPr>
                <w:sz w:val="20"/>
                <w:szCs w:val="20"/>
              </w:rPr>
            </w:pPr>
            <w:r w:rsidRPr="004218DE">
              <w:rPr>
                <w:sz w:val="20"/>
                <w:szCs w:val="20"/>
              </w:rPr>
              <w:t>Number of councillors per ward</w:t>
            </w:r>
          </w:p>
        </w:tc>
        <w:tc>
          <w:tcPr>
            <w:tcW w:w="1274" w:type="dxa"/>
          </w:tcPr>
          <w:p w14:paraId="3292DDB2" w14:textId="77777777" w:rsidR="00AF63A5" w:rsidRPr="004218DE" w:rsidRDefault="00AF63A5" w:rsidP="008977B1">
            <w:pPr>
              <w:jc w:val="center"/>
              <w:rPr>
                <w:sz w:val="20"/>
                <w:szCs w:val="20"/>
              </w:rPr>
            </w:pPr>
            <w:r w:rsidRPr="004218DE">
              <w:rPr>
                <w:sz w:val="20"/>
                <w:szCs w:val="20"/>
              </w:rPr>
              <w:t>Population per councillor</w:t>
            </w:r>
          </w:p>
        </w:tc>
        <w:tc>
          <w:tcPr>
            <w:tcW w:w="1528" w:type="dxa"/>
          </w:tcPr>
          <w:p w14:paraId="3292DDB3" w14:textId="77777777" w:rsidR="00AF63A5" w:rsidRPr="004218DE" w:rsidRDefault="00AF63A5" w:rsidP="008977B1">
            <w:pPr>
              <w:jc w:val="center"/>
              <w:rPr>
                <w:sz w:val="20"/>
                <w:szCs w:val="20"/>
              </w:rPr>
            </w:pPr>
            <w:r w:rsidRPr="004218DE">
              <w:rPr>
                <w:sz w:val="20"/>
                <w:szCs w:val="20"/>
              </w:rPr>
              <w:t>Deviation from district average population per councillor</w:t>
            </w:r>
          </w:p>
        </w:tc>
        <w:tc>
          <w:tcPr>
            <w:tcW w:w="1701" w:type="dxa"/>
          </w:tcPr>
          <w:p w14:paraId="3292DDB4" w14:textId="77777777" w:rsidR="00AF63A5" w:rsidRPr="004218DE" w:rsidRDefault="00AF63A5" w:rsidP="008977B1">
            <w:pPr>
              <w:jc w:val="center"/>
              <w:rPr>
                <w:sz w:val="20"/>
                <w:szCs w:val="20"/>
              </w:rPr>
            </w:pPr>
            <w:r w:rsidRPr="004218DE">
              <w:rPr>
                <w:sz w:val="20"/>
                <w:szCs w:val="20"/>
              </w:rPr>
              <w:t>% deviation from district average population per councillor</w:t>
            </w:r>
          </w:p>
        </w:tc>
      </w:tr>
      <w:tr w:rsidR="00AF63A5" w:rsidRPr="004218DE" w14:paraId="3292DDBC" w14:textId="77777777" w:rsidTr="008977B1">
        <w:tc>
          <w:tcPr>
            <w:tcW w:w="1988" w:type="dxa"/>
          </w:tcPr>
          <w:p w14:paraId="3292DDB6" w14:textId="0BD1418B" w:rsidR="00AF63A5" w:rsidRPr="004218DE" w:rsidRDefault="00334557" w:rsidP="008977B1">
            <w:pPr>
              <w:rPr>
                <w:sz w:val="20"/>
                <w:szCs w:val="20"/>
              </w:rPr>
            </w:pPr>
            <w:r>
              <w:rPr>
                <w:sz w:val="20"/>
                <w:szCs w:val="20"/>
              </w:rPr>
              <w:t>West Coast-Central</w:t>
            </w:r>
          </w:p>
        </w:tc>
        <w:tc>
          <w:tcPr>
            <w:tcW w:w="1327" w:type="dxa"/>
          </w:tcPr>
          <w:p w14:paraId="3292DDB7" w14:textId="3F395F59" w:rsidR="00AF63A5" w:rsidRPr="004218DE" w:rsidRDefault="00334557" w:rsidP="008977B1">
            <w:pPr>
              <w:jc w:val="center"/>
              <w:rPr>
                <w:sz w:val="20"/>
                <w:szCs w:val="20"/>
              </w:rPr>
            </w:pPr>
            <w:r>
              <w:rPr>
                <w:sz w:val="20"/>
                <w:szCs w:val="20"/>
              </w:rPr>
              <w:t>6,910</w:t>
            </w:r>
          </w:p>
        </w:tc>
        <w:tc>
          <w:tcPr>
            <w:tcW w:w="1273" w:type="dxa"/>
          </w:tcPr>
          <w:p w14:paraId="3292DDB8" w14:textId="33EE92CD" w:rsidR="00AF63A5" w:rsidRPr="004218DE" w:rsidRDefault="00334557" w:rsidP="008977B1">
            <w:pPr>
              <w:jc w:val="center"/>
              <w:rPr>
                <w:sz w:val="20"/>
                <w:szCs w:val="20"/>
              </w:rPr>
            </w:pPr>
            <w:r>
              <w:rPr>
                <w:sz w:val="20"/>
                <w:szCs w:val="20"/>
              </w:rPr>
              <w:t>3</w:t>
            </w:r>
          </w:p>
        </w:tc>
        <w:tc>
          <w:tcPr>
            <w:tcW w:w="1274" w:type="dxa"/>
          </w:tcPr>
          <w:p w14:paraId="3292DDB9" w14:textId="140BE00F" w:rsidR="00AF63A5" w:rsidRPr="004218DE" w:rsidRDefault="00334557" w:rsidP="008977B1">
            <w:pPr>
              <w:jc w:val="center"/>
              <w:rPr>
                <w:sz w:val="20"/>
                <w:szCs w:val="20"/>
              </w:rPr>
            </w:pPr>
            <w:r>
              <w:rPr>
                <w:sz w:val="20"/>
                <w:szCs w:val="20"/>
              </w:rPr>
              <w:t>2,303</w:t>
            </w:r>
          </w:p>
        </w:tc>
        <w:tc>
          <w:tcPr>
            <w:tcW w:w="1528" w:type="dxa"/>
          </w:tcPr>
          <w:p w14:paraId="3292DDBA" w14:textId="602BE6C3" w:rsidR="00AF63A5" w:rsidRPr="004218DE" w:rsidRDefault="00334557" w:rsidP="008977B1">
            <w:pPr>
              <w:jc w:val="center"/>
              <w:rPr>
                <w:sz w:val="20"/>
                <w:szCs w:val="20"/>
              </w:rPr>
            </w:pPr>
            <w:r>
              <w:rPr>
                <w:sz w:val="20"/>
                <w:szCs w:val="20"/>
              </w:rPr>
              <w:t>-93</w:t>
            </w:r>
          </w:p>
        </w:tc>
        <w:tc>
          <w:tcPr>
            <w:tcW w:w="1701" w:type="dxa"/>
          </w:tcPr>
          <w:p w14:paraId="3292DDBB" w14:textId="02498317" w:rsidR="00AF63A5" w:rsidRPr="004218DE" w:rsidRDefault="00334557" w:rsidP="008977B1">
            <w:pPr>
              <w:jc w:val="center"/>
              <w:rPr>
                <w:sz w:val="20"/>
                <w:szCs w:val="20"/>
              </w:rPr>
            </w:pPr>
            <w:r>
              <w:rPr>
                <w:sz w:val="20"/>
                <w:szCs w:val="20"/>
              </w:rPr>
              <w:t>-3.88</w:t>
            </w:r>
          </w:p>
        </w:tc>
      </w:tr>
      <w:tr w:rsidR="00AF63A5" w:rsidRPr="004218DE" w14:paraId="3292DDC3" w14:textId="77777777" w:rsidTr="008977B1">
        <w:tc>
          <w:tcPr>
            <w:tcW w:w="1988" w:type="dxa"/>
          </w:tcPr>
          <w:p w14:paraId="3292DDBD" w14:textId="1902C622" w:rsidR="00AF63A5" w:rsidRPr="004218DE" w:rsidRDefault="00334557" w:rsidP="008977B1">
            <w:pPr>
              <w:rPr>
                <w:sz w:val="20"/>
                <w:szCs w:val="20"/>
              </w:rPr>
            </w:pPr>
            <w:proofErr w:type="spellStart"/>
            <w:r>
              <w:rPr>
                <w:sz w:val="20"/>
                <w:szCs w:val="20"/>
              </w:rPr>
              <w:t>Dargaville</w:t>
            </w:r>
            <w:proofErr w:type="spellEnd"/>
          </w:p>
        </w:tc>
        <w:tc>
          <w:tcPr>
            <w:tcW w:w="1327" w:type="dxa"/>
          </w:tcPr>
          <w:p w14:paraId="3292DDBE" w14:textId="0FCEAF4D" w:rsidR="00AF63A5" w:rsidRPr="004218DE" w:rsidRDefault="00334557" w:rsidP="008977B1">
            <w:pPr>
              <w:jc w:val="center"/>
              <w:rPr>
                <w:sz w:val="20"/>
                <w:szCs w:val="20"/>
              </w:rPr>
            </w:pPr>
            <w:r>
              <w:rPr>
                <w:sz w:val="20"/>
                <w:szCs w:val="20"/>
              </w:rPr>
              <w:t>4,440</w:t>
            </w:r>
          </w:p>
        </w:tc>
        <w:tc>
          <w:tcPr>
            <w:tcW w:w="1273" w:type="dxa"/>
          </w:tcPr>
          <w:p w14:paraId="3292DDBF" w14:textId="1BEACF2B" w:rsidR="00AF63A5" w:rsidRPr="004218DE" w:rsidRDefault="00334557" w:rsidP="008977B1">
            <w:pPr>
              <w:jc w:val="center"/>
              <w:rPr>
                <w:sz w:val="20"/>
                <w:szCs w:val="20"/>
              </w:rPr>
            </w:pPr>
            <w:r>
              <w:rPr>
                <w:sz w:val="20"/>
                <w:szCs w:val="20"/>
              </w:rPr>
              <w:t>2</w:t>
            </w:r>
          </w:p>
        </w:tc>
        <w:tc>
          <w:tcPr>
            <w:tcW w:w="1274" w:type="dxa"/>
          </w:tcPr>
          <w:p w14:paraId="3292DDC0" w14:textId="32A444D7" w:rsidR="00AF63A5" w:rsidRPr="004218DE" w:rsidRDefault="00334557" w:rsidP="008977B1">
            <w:pPr>
              <w:jc w:val="center"/>
              <w:rPr>
                <w:sz w:val="20"/>
                <w:szCs w:val="20"/>
              </w:rPr>
            </w:pPr>
            <w:r>
              <w:rPr>
                <w:sz w:val="20"/>
                <w:szCs w:val="20"/>
              </w:rPr>
              <w:t>2,220</w:t>
            </w:r>
          </w:p>
        </w:tc>
        <w:tc>
          <w:tcPr>
            <w:tcW w:w="1528" w:type="dxa"/>
          </w:tcPr>
          <w:p w14:paraId="3292DDC1" w14:textId="4D7287DD" w:rsidR="00AF63A5" w:rsidRPr="004218DE" w:rsidRDefault="00334557" w:rsidP="008977B1">
            <w:pPr>
              <w:jc w:val="center"/>
              <w:rPr>
                <w:sz w:val="20"/>
                <w:szCs w:val="20"/>
              </w:rPr>
            </w:pPr>
            <w:r>
              <w:rPr>
                <w:sz w:val="20"/>
                <w:szCs w:val="20"/>
              </w:rPr>
              <w:t>-176</w:t>
            </w:r>
          </w:p>
        </w:tc>
        <w:tc>
          <w:tcPr>
            <w:tcW w:w="1701" w:type="dxa"/>
          </w:tcPr>
          <w:p w14:paraId="3292DDC2" w14:textId="0486F0C5" w:rsidR="00AF63A5" w:rsidRPr="004218DE" w:rsidRDefault="00334557" w:rsidP="008977B1">
            <w:pPr>
              <w:jc w:val="center"/>
              <w:rPr>
                <w:sz w:val="20"/>
                <w:szCs w:val="20"/>
              </w:rPr>
            </w:pPr>
            <w:r>
              <w:rPr>
                <w:sz w:val="20"/>
                <w:szCs w:val="20"/>
              </w:rPr>
              <w:t>-7.35</w:t>
            </w:r>
          </w:p>
        </w:tc>
      </w:tr>
      <w:tr w:rsidR="00AF63A5" w:rsidRPr="004218DE" w14:paraId="3292DDCA" w14:textId="77777777" w:rsidTr="008977B1">
        <w:tc>
          <w:tcPr>
            <w:tcW w:w="1988" w:type="dxa"/>
          </w:tcPr>
          <w:p w14:paraId="3292DDC4" w14:textId="36CEE7F5" w:rsidR="00AF63A5" w:rsidRPr="004218DE" w:rsidRDefault="00334557" w:rsidP="008977B1">
            <w:pPr>
              <w:rPr>
                <w:sz w:val="20"/>
                <w:szCs w:val="20"/>
              </w:rPr>
            </w:pPr>
            <w:proofErr w:type="spellStart"/>
            <w:r>
              <w:rPr>
                <w:sz w:val="20"/>
                <w:szCs w:val="20"/>
              </w:rPr>
              <w:t>Otamatea</w:t>
            </w:r>
            <w:proofErr w:type="spellEnd"/>
          </w:p>
        </w:tc>
        <w:tc>
          <w:tcPr>
            <w:tcW w:w="1327" w:type="dxa"/>
          </w:tcPr>
          <w:p w14:paraId="3292DDC5" w14:textId="6F1A2A2C" w:rsidR="00AF63A5" w:rsidRPr="004218DE" w:rsidRDefault="00334557" w:rsidP="008977B1">
            <w:pPr>
              <w:jc w:val="center"/>
              <w:rPr>
                <w:sz w:val="20"/>
                <w:szCs w:val="20"/>
              </w:rPr>
            </w:pPr>
            <w:r>
              <w:rPr>
                <w:sz w:val="20"/>
                <w:szCs w:val="20"/>
              </w:rPr>
              <w:t>7,820</w:t>
            </w:r>
          </w:p>
        </w:tc>
        <w:tc>
          <w:tcPr>
            <w:tcW w:w="1273" w:type="dxa"/>
          </w:tcPr>
          <w:p w14:paraId="3292DDC6" w14:textId="3A60CB6E" w:rsidR="00AF63A5" w:rsidRPr="004218DE" w:rsidRDefault="00334557" w:rsidP="008977B1">
            <w:pPr>
              <w:jc w:val="center"/>
              <w:rPr>
                <w:sz w:val="20"/>
                <w:szCs w:val="20"/>
              </w:rPr>
            </w:pPr>
            <w:r>
              <w:rPr>
                <w:sz w:val="20"/>
                <w:szCs w:val="20"/>
              </w:rPr>
              <w:t>3</w:t>
            </w:r>
          </w:p>
        </w:tc>
        <w:tc>
          <w:tcPr>
            <w:tcW w:w="1274" w:type="dxa"/>
          </w:tcPr>
          <w:p w14:paraId="3292DDC7" w14:textId="7FF374B8" w:rsidR="00AF63A5" w:rsidRPr="004218DE" w:rsidRDefault="00334557" w:rsidP="008977B1">
            <w:pPr>
              <w:jc w:val="center"/>
              <w:rPr>
                <w:sz w:val="20"/>
                <w:szCs w:val="20"/>
              </w:rPr>
            </w:pPr>
            <w:r>
              <w:rPr>
                <w:sz w:val="20"/>
                <w:szCs w:val="20"/>
              </w:rPr>
              <w:t>2,607</w:t>
            </w:r>
          </w:p>
        </w:tc>
        <w:tc>
          <w:tcPr>
            <w:tcW w:w="1528" w:type="dxa"/>
          </w:tcPr>
          <w:p w14:paraId="3292DDC8" w14:textId="4F2BDD39" w:rsidR="00AF63A5" w:rsidRPr="004218DE" w:rsidRDefault="0050576A" w:rsidP="008977B1">
            <w:pPr>
              <w:jc w:val="center"/>
              <w:rPr>
                <w:sz w:val="20"/>
                <w:szCs w:val="20"/>
              </w:rPr>
            </w:pPr>
            <w:r>
              <w:rPr>
                <w:sz w:val="20"/>
                <w:szCs w:val="20"/>
              </w:rPr>
              <w:t>+211</w:t>
            </w:r>
          </w:p>
        </w:tc>
        <w:tc>
          <w:tcPr>
            <w:tcW w:w="1701" w:type="dxa"/>
          </w:tcPr>
          <w:p w14:paraId="3292DDC9" w14:textId="1237D6D6" w:rsidR="00AF63A5" w:rsidRPr="004218DE" w:rsidRDefault="0050576A" w:rsidP="008977B1">
            <w:pPr>
              <w:jc w:val="center"/>
              <w:rPr>
                <w:sz w:val="20"/>
                <w:szCs w:val="20"/>
              </w:rPr>
            </w:pPr>
            <w:r>
              <w:rPr>
                <w:sz w:val="20"/>
                <w:szCs w:val="20"/>
              </w:rPr>
              <w:t>+8.81</w:t>
            </w:r>
          </w:p>
        </w:tc>
      </w:tr>
      <w:tr w:rsidR="00AF63A5" w:rsidRPr="004218DE" w14:paraId="3292DDD1" w14:textId="77777777" w:rsidTr="008977B1">
        <w:tc>
          <w:tcPr>
            <w:tcW w:w="1988" w:type="dxa"/>
          </w:tcPr>
          <w:p w14:paraId="3292DDCB" w14:textId="77777777" w:rsidR="00AF63A5" w:rsidRPr="004218DE" w:rsidRDefault="00AF63A5" w:rsidP="008977B1">
            <w:pPr>
              <w:rPr>
                <w:b/>
                <w:sz w:val="20"/>
                <w:szCs w:val="20"/>
              </w:rPr>
            </w:pPr>
            <w:r w:rsidRPr="004218DE">
              <w:rPr>
                <w:b/>
                <w:sz w:val="20"/>
                <w:szCs w:val="20"/>
              </w:rPr>
              <w:t>Total</w:t>
            </w:r>
          </w:p>
        </w:tc>
        <w:tc>
          <w:tcPr>
            <w:tcW w:w="1327" w:type="dxa"/>
          </w:tcPr>
          <w:p w14:paraId="3292DDCC" w14:textId="473015BF" w:rsidR="00AF63A5" w:rsidRPr="004218DE" w:rsidRDefault="00334557" w:rsidP="008977B1">
            <w:pPr>
              <w:jc w:val="center"/>
              <w:rPr>
                <w:b/>
                <w:sz w:val="20"/>
                <w:szCs w:val="20"/>
              </w:rPr>
            </w:pPr>
            <w:r>
              <w:rPr>
                <w:b/>
                <w:sz w:val="20"/>
                <w:szCs w:val="20"/>
              </w:rPr>
              <w:t>19,170</w:t>
            </w:r>
          </w:p>
        </w:tc>
        <w:tc>
          <w:tcPr>
            <w:tcW w:w="1273" w:type="dxa"/>
          </w:tcPr>
          <w:p w14:paraId="3292DDCD" w14:textId="2FA31D26" w:rsidR="00AF63A5" w:rsidRPr="004218DE" w:rsidRDefault="00334557" w:rsidP="008977B1">
            <w:pPr>
              <w:jc w:val="center"/>
              <w:rPr>
                <w:b/>
                <w:sz w:val="20"/>
                <w:szCs w:val="20"/>
              </w:rPr>
            </w:pPr>
            <w:r>
              <w:rPr>
                <w:b/>
                <w:sz w:val="20"/>
                <w:szCs w:val="20"/>
              </w:rPr>
              <w:t>8</w:t>
            </w:r>
          </w:p>
        </w:tc>
        <w:tc>
          <w:tcPr>
            <w:tcW w:w="1274" w:type="dxa"/>
          </w:tcPr>
          <w:p w14:paraId="3292DDCE" w14:textId="5CBD3208" w:rsidR="00AF63A5" w:rsidRPr="004218DE" w:rsidRDefault="00334557" w:rsidP="008977B1">
            <w:pPr>
              <w:jc w:val="center"/>
              <w:rPr>
                <w:b/>
                <w:sz w:val="20"/>
                <w:szCs w:val="20"/>
              </w:rPr>
            </w:pPr>
            <w:r>
              <w:rPr>
                <w:b/>
                <w:sz w:val="20"/>
                <w:szCs w:val="20"/>
              </w:rPr>
              <w:t>2,396</w:t>
            </w:r>
          </w:p>
        </w:tc>
        <w:tc>
          <w:tcPr>
            <w:tcW w:w="1528" w:type="dxa"/>
          </w:tcPr>
          <w:p w14:paraId="3292DDCF" w14:textId="77777777" w:rsidR="00AF63A5" w:rsidRPr="004218DE" w:rsidRDefault="00AF63A5" w:rsidP="008977B1">
            <w:pPr>
              <w:jc w:val="center"/>
              <w:rPr>
                <w:b/>
                <w:sz w:val="20"/>
                <w:szCs w:val="20"/>
              </w:rPr>
            </w:pPr>
          </w:p>
        </w:tc>
        <w:tc>
          <w:tcPr>
            <w:tcW w:w="1701" w:type="dxa"/>
          </w:tcPr>
          <w:p w14:paraId="3292DDD0" w14:textId="77777777" w:rsidR="00AF63A5" w:rsidRPr="004218DE" w:rsidRDefault="00AF63A5" w:rsidP="008977B1">
            <w:pPr>
              <w:jc w:val="center"/>
              <w:rPr>
                <w:b/>
                <w:sz w:val="20"/>
                <w:szCs w:val="20"/>
              </w:rPr>
            </w:pPr>
          </w:p>
        </w:tc>
      </w:tr>
    </w:tbl>
    <w:p w14:paraId="3292DDD2" w14:textId="77777777" w:rsidR="00AF63A5" w:rsidRPr="007C6C7D" w:rsidRDefault="00AF63A5" w:rsidP="00AF63A5">
      <w:pPr>
        <w:spacing w:before="0" w:after="0"/>
        <w:rPr>
          <w:sz w:val="22"/>
          <w:szCs w:val="22"/>
        </w:rPr>
      </w:pPr>
      <w:r w:rsidRPr="007C6C7D">
        <w:rPr>
          <w:sz w:val="22"/>
          <w:szCs w:val="22"/>
        </w:rPr>
        <w:t>*Based on Statistics NZ 2011 population estimates</w:t>
      </w:r>
    </w:p>
    <w:p w14:paraId="3292DDD4" w14:textId="0C1DF92B" w:rsidR="00AF63A5" w:rsidRPr="00E11B1D" w:rsidRDefault="00AF63A5" w:rsidP="00AF63A5">
      <w:pPr>
        <w:pStyle w:val="ListParagraph"/>
        <w:keepLines w:val="0"/>
        <w:numPr>
          <w:ilvl w:val="0"/>
          <w:numId w:val="25"/>
        </w:numPr>
        <w:ind w:left="567" w:hanging="567"/>
        <w:rPr>
          <w:rFonts w:asciiTheme="minorHAnsi" w:hAnsiTheme="minorHAnsi" w:cs="Arial"/>
        </w:rPr>
      </w:pPr>
      <w:r>
        <w:t>For its current review, the council undertook some informal consultation with the community</w:t>
      </w:r>
      <w:r w:rsidR="007056E2">
        <w:t xml:space="preserve"> by way of a survey</w:t>
      </w:r>
      <w:r>
        <w:t xml:space="preserve"> between </w:t>
      </w:r>
      <w:r w:rsidR="007056E2">
        <w:t>30</w:t>
      </w:r>
      <w:r>
        <w:t xml:space="preserve"> April </w:t>
      </w:r>
      <w:r w:rsidR="007056E2">
        <w:t xml:space="preserve">and 18 May </w:t>
      </w:r>
      <w:r>
        <w:t xml:space="preserve">2018. </w:t>
      </w:r>
      <w:r w:rsidR="007056E2">
        <w:t>A total of 78 responses were received. In summary, these showed:</w:t>
      </w:r>
    </w:p>
    <w:p w14:paraId="3292DDD7" w14:textId="54C62EEA" w:rsidR="00AF63A5" w:rsidRDefault="007056E2" w:rsidP="00AF63A5">
      <w:pPr>
        <w:pStyle w:val="ListParagraph"/>
        <w:keepNext/>
        <w:keepLines w:val="0"/>
        <w:numPr>
          <w:ilvl w:val="0"/>
          <w:numId w:val="33"/>
        </w:numPr>
        <w:spacing w:before="0" w:after="120" w:line="280" w:lineRule="atLeast"/>
        <w:ind w:left="1276" w:hanging="425"/>
      </w:pPr>
      <w:r>
        <w:t>65% wanted a</w:t>
      </w:r>
      <w:r w:rsidR="00AF63A5">
        <w:t xml:space="preserve"> ward</w:t>
      </w:r>
      <w:r>
        <w:t xml:space="preserve"> </w:t>
      </w:r>
      <w:r w:rsidR="00AF63A5">
        <w:t>s</w:t>
      </w:r>
      <w:r>
        <w:t>ystem retained, 14% wanted an at large system,</w:t>
      </w:r>
      <w:r w:rsidR="00AF63A5">
        <w:t xml:space="preserve"> </w:t>
      </w:r>
      <w:r>
        <w:t>19% wanted a mixed system</w:t>
      </w:r>
    </w:p>
    <w:p w14:paraId="3292DDD8" w14:textId="0973AADB" w:rsidR="00AF63A5" w:rsidRDefault="007056E2" w:rsidP="00AF63A5">
      <w:pPr>
        <w:pStyle w:val="ListParagraph"/>
        <w:keepNext/>
        <w:keepLines w:val="0"/>
        <w:numPr>
          <w:ilvl w:val="0"/>
          <w:numId w:val="33"/>
        </w:numPr>
        <w:spacing w:before="0" w:after="120" w:line="280" w:lineRule="atLeast"/>
        <w:ind w:left="1276" w:hanging="425"/>
      </w:pPr>
      <w:r>
        <w:t>44% were happy with the current ward names, 21% were not</w:t>
      </w:r>
    </w:p>
    <w:p w14:paraId="3292DDD9" w14:textId="37314143" w:rsidR="00AF63A5" w:rsidRDefault="007056E2" w:rsidP="00AF63A5">
      <w:pPr>
        <w:pStyle w:val="ListParagraph"/>
        <w:keepNext/>
        <w:keepLines w:val="0"/>
        <w:numPr>
          <w:ilvl w:val="0"/>
          <w:numId w:val="33"/>
        </w:numPr>
        <w:spacing w:before="0" w:after="120" w:line="280" w:lineRule="atLeast"/>
        <w:ind w:left="1276" w:hanging="425"/>
      </w:pPr>
      <w:r>
        <w:t>55% wanted eight councillors retained, 22% wanted nine councillors</w:t>
      </w:r>
    </w:p>
    <w:p w14:paraId="16F5EE6E" w14:textId="3BE9BA04" w:rsidR="00D8687C" w:rsidRDefault="007056E2" w:rsidP="00406FEC">
      <w:pPr>
        <w:pStyle w:val="ListParagraph"/>
        <w:keepNext/>
        <w:keepLines w:val="0"/>
        <w:numPr>
          <w:ilvl w:val="0"/>
          <w:numId w:val="33"/>
        </w:numPr>
        <w:spacing w:before="0" w:after="120" w:line="280" w:lineRule="atLeast"/>
        <w:ind w:left="1276" w:hanging="425"/>
      </w:pPr>
      <w:r>
        <w:t>53% wanted community boards, 37% did not.</w:t>
      </w:r>
    </w:p>
    <w:p w14:paraId="3E8D7F43" w14:textId="10920D63" w:rsidR="007056E2" w:rsidRDefault="00406FEC" w:rsidP="00AF63A5">
      <w:pPr>
        <w:pStyle w:val="ListParagraph"/>
        <w:keepLines w:val="0"/>
        <w:numPr>
          <w:ilvl w:val="0"/>
          <w:numId w:val="25"/>
        </w:numPr>
        <w:ind w:left="567" w:hanging="567"/>
        <w:rPr>
          <w:rFonts w:asciiTheme="minorHAnsi" w:hAnsiTheme="minorHAnsi" w:cs="Arial"/>
        </w:rPr>
      </w:pPr>
      <w:r>
        <w:t xml:space="preserve">At a series of briefings, the council considered </w:t>
      </w:r>
      <w:proofErr w:type="gramStart"/>
      <w:r>
        <w:t>a number of</w:t>
      </w:r>
      <w:proofErr w:type="gramEnd"/>
      <w:r>
        <w:t xml:space="preserve"> representation options. These included seven, eight or nine councillors; three or four wards; a mix of four councillors elected at large and four elected from four wards; at large representation with community boards.</w:t>
      </w:r>
    </w:p>
    <w:p w14:paraId="3292DDDA" w14:textId="6D43F93A" w:rsidR="00AF63A5" w:rsidRDefault="00AF63A5"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At a meeting on </w:t>
      </w:r>
      <w:r w:rsidR="00406FEC">
        <w:rPr>
          <w:rFonts w:asciiTheme="minorHAnsi" w:hAnsiTheme="minorHAnsi" w:cs="Arial"/>
        </w:rPr>
        <w:t>26</w:t>
      </w:r>
      <w:r>
        <w:rPr>
          <w:rFonts w:asciiTheme="minorHAnsi" w:hAnsiTheme="minorHAnsi" w:cs="Arial"/>
        </w:rPr>
        <w:t xml:space="preserve"> July 2018, the council adopted its initial representation proposal.</w:t>
      </w:r>
      <w:r w:rsidR="00406FEC">
        <w:rPr>
          <w:rFonts w:asciiTheme="minorHAnsi" w:hAnsiTheme="minorHAnsi" w:cs="Arial"/>
        </w:rPr>
        <w:t xml:space="preserve"> This was for a council comprising the mayor and eight councillors elected from four wards as set out in the following table.</w:t>
      </w:r>
    </w:p>
    <w:tbl>
      <w:tblPr>
        <w:tblStyle w:val="DIATable"/>
        <w:tblW w:w="0" w:type="auto"/>
        <w:tblLook w:val="04A0" w:firstRow="1" w:lastRow="0" w:firstColumn="1" w:lastColumn="0" w:noHBand="0" w:noVBand="1"/>
      </w:tblPr>
      <w:tblGrid>
        <w:gridCol w:w="1436"/>
        <w:gridCol w:w="1327"/>
        <w:gridCol w:w="1225"/>
        <w:gridCol w:w="1276"/>
        <w:gridCol w:w="1701"/>
        <w:gridCol w:w="1968"/>
      </w:tblGrid>
      <w:tr w:rsidR="00406FEC" w14:paraId="28BD1EB6" w14:textId="77777777" w:rsidTr="004C554E">
        <w:trPr>
          <w:cnfStyle w:val="100000000000" w:firstRow="1" w:lastRow="0" w:firstColumn="0" w:lastColumn="0" w:oddVBand="0" w:evenVBand="0" w:oddHBand="0" w:evenHBand="0" w:firstRowFirstColumn="0" w:firstRowLastColumn="0" w:lastRowFirstColumn="0" w:lastRowLastColumn="0"/>
        </w:trPr>
        <w:tc>
          <w:tcPr>
            <w:tcW w:w="1436" w:type="dxa"/>
          </w:tcPr>
          <w:p w14:paraId="0FDB5C75" w14:textId="77777777" w:rsidR="00406FEC" w:rsidRPr="00406FEC" w:rsidRDefault="00406FEC" w:rsidP="00406FEC">
            <w:pPr>
              <w:ind w:left="360"/>
              <w:jc w:val="center"/>
            </w:pPr>
            <w:r w:rsidRPr="00406FEC">
              <w:t>Ward</w:t>
            </w:r>
          </w:p>
        </w:tc>
        <w:tc>
          <w:tcPr>
            <w:tcW w:w="1327" w:type="dxa"/>
          </w:tcPr>
          <w:p w14:paraId="6D76B7DD" w14:textId="77777777" w:rsidR="00406FEC" w:rsidRDefault="00406FEC" w:rsidP="004C554E">
            <w:pPr>
              <w:jc w:val="center"/>
            </w:pPr>
            <w:r>
              <w:t>Population*</w:t>
            </w:r>
          </w:p>
        </w:tc>
        <w:tc>
          <w:tcPr>
            <w:tcW w:w="1225" w:type="dxa"/>
          </w:tcPr>
          <w:p w14:paraId="7E787E6F" w14:textId="77777777" w:rsidR="00406FEC" w:rsidRDefault="00406FEC" w:rsidP="004C554E">
            <w:pPr>
              <w:jc w:val="center"/>
            </w:pPr>
            <w:r>
              <w:t>Number of councillors per ward</w:t>
            </w:r>
          </w:p>
        </w:tc>
        <w:tc>
          <w:tcPr>
            <w:tcW w:w="1276" w:type="dxa"/>
          </w:tcPr>
          <w:p w14:paraId="6F9770EA" w14:textId="77777777" w:rsidR="00406FEC" w:rsidRDefault="00406FEC" w:rsidP="004C554E">
            <w:pPr>
              <w:jc w:val="center"/>
            </w:pPr>
            <w:r>
              <w:t>Population per councillor</w:t>
            </w:r>
          </w:p>
        </w:tc>
        <w:tc>
          <w:tcPr>
            <w:tcW w:w="1701" w:type="dxa"/>
          </w:tcPr>
          <w:p w14:paraId="1FD3C64F" w14:textId="77777777" w:rsidR="00406FEC" w:rsidRDefault="00406FEC" w:rsidP="004C554E">
            <w:pPr>
              <w:jc w:val="center"/>
            </w:pPr>
            <w:r>
              <w:t>Deviation from district average population per councillor</w:t>
            </w:r>
          </w:p>
        </w:tc>
        <w:tc>
          <w:tcPr>
            <w:tcW w:w="1968" w:type="dxa"/>
          </w:tcPr>
          <w:p w14:paraId="1A6B7D93" w14:textId="77777777" w:rsidR="00406FEC" w:rsidRDefault="00406FEC" w:rsidP="004C554E">
            <w:pPr>
              <w:jc w:val="center"/>
            </w:pPr>
            <w:r>
              <w:t>% deviation from district average population per councillor</w:t>
            </w:r>
          </w:p>
        </w:tc>
      </w:tr>
      <w:tr w:rsidR="00406FEC" w14:paraId="4DCCF22B" w14:textId="77777777" w:rsidTr="004C554E">
        <w:tc>
          <w:tcPr>
            <w:tcW w:w="1436" w:type="dxa"/>
          </w:tcPr>
          <w:p w14:paraId="7A4FE955" w14:textId="77777777" w:rsidR="00406FEC" w:rsidRDefault="00406FEC" w:rsidP="004C554E">
            <w:r>
              <w:t>West Coast-Central</w:t>
            </w:r>
          </w:p>
        </w:tc>
        <w:tc>
          <w:tcPr>
            <w:tcW w:w="1327" w:type="dxa"/>
          </w:tcPr>
          <w:p w14:paraId="66B74B14" w14:textId="77777777" w:rsidR="00406FEC" w:rsidRDefault="00406FEC" w:rsidP="004C554E">
            <w:pPr>
              <w:jc w:val="center"/>
            </w:pPr>
            <w:r>
              <w:t>5,830</w:t>
            </w:r>
          </w:p>
        </w:tc>
        <w:tc>
          <w:tcPr>
            <w:tcW w:w="1225" w:type="dxa"/>
          </w:tcPr>
          <w:p w14:paraId="20C81902" w14:textId="77777777" w:rsidR="00406FEC" w:rsidRDefault="00406FEC" w:rsidP="004C554E">
            <w:pPr>
              <w:jc w:val="center"/>
            </w:pPr>
            <w:r>
              <w:t>2</w:t>
            </w:r>
          </w:p>
        </w:tc>
        <w:tc>
          <w:tcPr>
            <w:tcW w:w="1276" w:type="dxa"/>
          </w:tcPr>
          <w:p w14:paraId="377413EE" w14:textId="77777777" w:rsidR="00406FEC" w:rsidRDefault="00406FEC" w:rsidP="004C554E">
            <w:pPr>
              <w:jc w:val="center"/>
            </w:pPr>
            <w:r>
              <w:t>2,915</w:t>
            </w:r>
          </w:p>
        </w:tc>
        <w:tc>
          <w:tcPr>
            <w:tcW w:w="1701" w:type="dxa"/>
          </w:tcPr>
          <w:p w14:paraId="7B2D5FC2" w14:textId="77777777" w:rsidR="00406FEC" w:rsidRDefault="00406FEC" w:rsidP="004C554E">
            <w:pPr>
              <w:jc w:val="center"/>
            </w:pPr>
            <w:r>
              <w:t>+95</w:t>
            </w:r>
          </w:p>
        </w:tc>
        <w:tc>
          <w:tcPr>
            <w:tcW w:w="1968" w:type="dxa"/>
          </w:tcPr>
          <w:p w14:paraId="16BF8E90" w14:textId="77777777" w:rsidR="00406FEC" w:rsidRDefault="00406FEC" w:rsidP="004C554E">
            <w:pPr>
              <w:jc w:val="center"/>
            </w:pPr>
            <w:r>
              <w:t>+3.37</w:t>
            </w:r>
          </w:p>
        </w:tc>
      </w:tr>
      <w:tr w:rsidR="00406FEC" w14:paraId="73D7700F" w14:textId="77777777" w:rsidTr="004C554E">
        <w:tc>
          <w:tcPr>
            <w:tcW w:w="1436" w:type="dxa"/>
          </w:tcPr>
          <w:p w14:paraId="4A733CE1" w14:textId="77777777" w:rsidR="00406FEC" w:rsidRDefault="00406FEC" w:rsidP="004C554E">
            <w:proofErr w:type="spellStart"/>
            <w:r>
              <w:t>Dargaville</w:t>
            </w:r>
            <w:proofErr w:type="spellEnd"/>
          </w:p>
        </w:tc>
        <w:tc>
          <w:tcPr>
            <w:tcW w:w="1327" w:type="dxa"/>
          </w:tcPr>
          <w:p w14:paraId="41F354BC" w14:textId="77777777" w:rsidR="00406FEC" w:rsidRDefault="00406FEC" w:rsidP="004C554E">
            <w:pPr>
              <w:jc w:val="center"/>
            </w:pPr>
            <w:r>
              <w:t>5,080</w:t>
            </w:r>
          </w:p>
        </w:tc>
        <w:tc>
          <w:tcPr>
            <w:tcW w:w="1225" w:type="dxa"/>
          </w:tcPr>
          <w:p w14:paraId="2F0697B3" w14:textId="77777777" w:rsidR="00406FEC" w:rsidRDefault="00406FEC" w:rsidP="004C554E">
            <w:pPr>
              <w:jc w:val="center"/>
            </w:pPr>
            <w:r>
              <w:t>2</w:t>
            </w:r>
          </w:p>
        </w:tc>
        <w:tc>
          <w:tcPr>
            <w:tcW w:w="1276" w:type="dxa"/>
          </w:tcPr>
          <w:p w14:paraId="2AF67AFB" w14:textId="77777777" w:rsidR="00406FEC" w:rsidRDefault="00406FEC" w:rsidP="004C554E">
            <w:pPr>
              <w:jc w:val="center"/>
            </w:pPr>
            <w:r>
              <w:t>2,540</w:t>
            </w:r>
          </w:p>
        </w:tc>
        <w:tc>
          <w:tcPr>
            <w:tcW w:w="1701" w:type="dxa"/>
          </w:tcPr>
          <w:p w14:paraId="4CD8B790" w14:textId="77777777" w:rsidR="00406FEC" w:rsidRDefault="00406FEC" w:rsidP="004C554E">
            <w:pPr>
              <w:jc w:val="center"/>
            </w:pPr>
            <w:r>
              <w:t>-280</w:t>
            </w:r>
          </w:p>
        </w:tc>
        <w:tc>
          <w:tcPr>
            <w:tcW w:w="1968" w:type="dxa"/>
          </w:tcPr>
          <w:p w14:paraId="3106FAFC" w14:textId="77777777" w:rsidR="00406FEC" w:rsidRDefault="00406FEC" w:rsidP="004C554E">
            <w:pPr>
              <w:jc w:val="center"/>
            </w:pPr>
            <w:r>
              <w:t>-9.93</w:t>
            </w:r>
          </w:p>
        </w:tc>
      </w:tr>
      <w:tr w:rsidR="00406FEC" w14:paraId="3CB87E81" w14:textId="77777777" w:rsidTr="004C554E">
        <w:tc>
          <w:tcPr>
            <w:tcW w:w="1436" w:type="dxa"/>
          </w:tcPr>
          <w:p w14:paraId="2AF2D979" w14:textId="77777777" w:rsidR="00406FEC" w:rsidRDefault="00406FEC" w:rsidP="004C554E">
            <w:proofErr w:type="spellStart"/>
            <w:r>
              <w:t>Otamatea</w:t>
            </w:r>
            <w:proofErr w:type="spellEnd"/>
          </w:p>
        </w:tc>
        <w:tc>
          <w:tcPr>
            <w:tcW w:w="1327" w:type="dxa"/>
          </w:tcPr>
          <w:p w14:paraId="418DD1B2" w14:textId="77777777" w:rsidR="00406FEC" w:rsidRDefault="00406FEC" w:rsidP="004C554E">
            <w:pPr>
              <w:jc w:val="center"/>
            </w:pPr>
            <w:r>
              <w:t>5,480</w:t>
            </w:r>
          </w:p>
        </w:tc>
        <w:tc>
          <w:tcPr>
            <w:tcW w:w="1225" w:type="dxa"/>
          </w:tcPr>
          <w:p w14:paraId="78B2723A" w14:textId="77777777" w:rsidR="00406FEC" w:rsidRDefault="00406FEC" w:rsidP="004C554E">
            <w:pPr>
              <w:jc w:val="center"/>
            </w:pPr>
            <w:r>
              <w:t>2</w:t>
            </w:r>
          </w:p>
        </w:tc>
        <w:tc>
          <w:tcPr>
            <w:tcW w:w="1276" w:type="dxa"/>
          </w:tcPr>
          <w:p w14:paraId="70D50FBB" w14:textId="77777777" w:rsidR="00406FEC" w:rsidRDefault="00406FEC" w:rsidP="004C554E">
            <w:pPr>
              <w:jc w:val="center"/>
            </w:pPr>
            <w:r>
              <w:t>2,740</w:t>
            </w:r>
          </w:p>
        </w:tc>
        <w:tc>
          <w:tcPr>
            <w:tcW w:w="1701" w:type="dxa"/>
          </w:tcPr>
          <w:p w14:paraId="38C97218" w14:textId="77777777" w:rsidR="00406FEC" w:rsidRDefault="00406FEC" w:rsidP="004C554E">
            <w:pPr>
              <w:jc w:val="center"/>
            </w:pPr>
            <w:r>
              <w:t>-80</w:t>
            </w:r>
          </w:p>
        </w:tc>
        <w:tc>
          <w:tcPr>
            <w:tcW w:w="1968" w:type="dxa"/>
          </w:tcPr>
          <w:p w14:paraId="232AD19F" w14:textId="77777777" w:rsidR="00406FEC" w:rsidRDefault="00406FEC" w:rsidP="004C554E">
            <w:pPr>
              <w:jc w:val="center"/>
            </w:pPr>
            <w:r>
              <w:t>-2.84</w:t>
            </w:r>
          </w:p>
        </w:tc>
      </w:tr>
      <w:tr w:rsidR="00406FEC" w14:paraId="4FD413E0" w14:textId="77777777" w:rsidTr="004C554E">
        <w:tc>
          <w:tcPr>
            <w:tcW w:w="1436" w:type="dxa"/>
          </w:tcPr>
          <w:p w14:paraId="0CD9E81E" w14:textId="77777777" w:rsidR="00406FEC" w:rsidRDefault="00406FEC" w:rsidP="004C554E">
            <w:proofErr w:type="spellStart"/>
            <w:r>
              <w:t>Kaiwaka-Mangawhai</w:t>
            </w:r>
            <w:proofErr w:type="spellEnd"/>
          </w:p>
        </w:tc>
        <w:tc>
          <w:tcPr>
            <w:tcW w:w="1327" w:type="dxa"/>
          </w:tcPr>
          <w:p w14:paraId="1EAA84CB" w14:textId="77777777" w:rsidR="00406FEC" w:rsidRDefault="00406FEC" w:rsidP="004C554E">
            <w:pPr>
              <w:jc w:val="center"/>
            </w:pPr>
            <w:r>
              <w:t>6,170</w:t>
            </w:r>
          </w:p>
        </w:tc>
        <w:tc>
          <w:tcPr>
            <w:tcW w:w="1225" w:type="dxa"/>
          </w:tcPr>
          <w:p w14:paraId="0EB51493" w14:textId="77777777" w:rsidR="00406FEC" w:rsidRDefault="00406FEC" w:rsidP="004C554E">
            <w:pPr>
              <w:jc w:val="center"/>
            </w:pPr>
            <w:r>
              <w:t>2</w:t>
            </w:r>
          </w:p>
        </w:tc>
        <w:tc>
          <w:tcPr>
            <w:tcW w:w="1276" w:type="dxa"/>
          </w:tcPr>
          <w:p w14:paraId="53E3010D" w14:textId="77777777" w:rsidR="00406FEC" w:rsidRDefault="00406FEC" w:rsidP="004C554E">
            <w:pPr>
              <w:jc w:val="center"/>
            </w:pPr>
            <w:r>
              <w:t>3,085</w:t>
            </w:r>
          </w:p>
        </w:tc>
        <w:tc>
          <w:tcPr>
            <w:tcW w:w="1701" w:type="dxa"/>
          </w:tcPr>
          <w:p w14:paraId="46AC2BA9" w14:textId="77777777" w:rsidR="00406FEC" w:rsidRDefault="00406FEC" w:rsidP="004C554E">
            <w:pPr>
              <w:jc w:val="center"/>
            </w:pPr>
            <w:r>
              <w:t>+265</w:t>
            </w:r>
          </w:p>
        </w:tc>
        <w:tc>
          <w:tcPr>
            <w:tcW w:w="1968" w:type="dxa"/>
          </w:tcPr>
          <w:p w14:paraId="5613C75D" w14:textId="77777777" w:rsidR="00406FEC" w:rsidRDefault="00406FEC" w:rsidP="004C554E">
            <w:pPr>
              <w:jc w:val="center"/>
            </w:pPr>
            <w:r>
              <w:t>+9.40</w:t>
            </w:r>
          </w:p>
        </w:tc>
      </w:tr>
      <w:tr w:rsidR="00406FEC" w:rsidRPr="004F3894" w14:paraId="485CE731" w14:textId="77777777" w:rsidTr="004C554E">
        <w:tc>
          <w:tcPr>
            <w:tcW w:w="1436" w:type="dxa"/>
          </w:tcPr>
          <w:p w14:paraId="160B5118" w14:textId="77777777" w:rsidR="00406FEC" w:rsidRPr="004F3894" w:rsidRDefault="00406FEC" w:rsidP="004C554E">
            <w:pPr>
              <w:rPr>
                <w:b/>
              </w:rPr>
            </w:pPr>
            <w:r w:rsidRPr="004F3894">
              <w:rPr>
                <w:b/>
              </w:rPr>
              <w:t>Total</w:t>
            </w:r>
          </w:p>
        </w:tc>
        <w:tc>
          <w:tcPr>
            <w:tcW w:w="1327" w:type="dxa"/>
          </w:tcPr>
          <w:p w14:paraId="4B32BB98" w14:textId="77777777" w:rsidR="00406FEC" w:rsidRPr="004F3894" w:rsidRDefault="00406FEC" w:rsidP="004C554E">
            <w:pPr>
              <w:jc w:val="center"/>
              <w:rPr>
                <w:b/>
              </w:rPr>
            </w:pPr>
            <w:r>
              <w:rPr>
                <w:b/>
              </w:rPr>
              <w:t>22,560</w:t>
            </w:r>
          </w:p>
        </w:tc>
        <w:tc>
          <w:tcPr>
            <w:tcW w:w="1225" w:type="dxa"/>
          </w:tcPr>
          <w:p w14:paraId="745380B2" w14:textId="77777777" w:rsidR="00406FEC" w:rsidRPr="004F3894" w:rsidRDefault="00406FEC" w:rsidP="004C554E">
            <w:pPr>
              <w:jc w:val="center"/>
              <w:rPr>
                <w:b/>
              </w:rPr>
            </w:pPr>
            <w:r>
              <w:rPr>
                <w:b/>
              </w:rPr>
              <w:t>8</w:t>
            </w:r>
          </w:p>
        </w:tc>
        <w:tc>
          <w:tcPr>
            <w:tcW w:w="1276" w:type="dxa"/>
          </w:tcPr>
          <w:p w14:paraId="427D1BA2" w14:textId="77777777" w:rsidR="00406FEC" w:rsidRPr="004F3894" w:rsidRDefault="00406FEC" w:rsidP="004C554E">
            <w:pPr>
              <w:jc w:val="center"/>
              <w:rPr>
                <w:b/>
              </w:rPr>
            </w:pPr>
            <w:r>
              <w:rPr>
                <w:b/>
              </w:rPr>
              <w:t>2,820</w:t>
            </w:r>
          </w:p>
        </w:tc>
        <w:tc>
          <w:tcPr>
            <w:tcW w:w="1701" w:type="dxa"/>
          </w:tcPr>
          <w:p w14:paraId="5499F024" w14:textId="77777777" w:rsidR="00406FEC" w:rsidRPr="004F3894" w:rsidRDefault="00406FEC" w:rsidP="004C554E">
            <w:pPr>
              <w:jc w:val="center"/>
              <w:rPr>
                <w:b/>
              </w:rPr>
            </w:pPr>
          </w:p>
        </w:tc>
        <w:tc>
          <w:tcPr>
            <w:tcW w:w="1968" w:type="dxa"/>
          </w:tcPr>
          <w:p w14:paraId="309E6A33" w14:textId="77777777" w:rsidR="00406FEC" w:rsidRPr="004F3894" w:rsidRDefault="00406FEC" w:rsidP="004C554E">
            <w:pPr>
              <w:jc w:val="center"/>
              <w:rPr>
                <w:b/>
              </w:rPr>
            </w:pPr>
          </w:p>
        </w:tc>
      </w:tr>
    </w:tbl>
    <w:p w14:paraId="2F1E1346" w14:textId="77777777" w:rsidR="00406FEC" w:rsidRDefault="00406FEC" w:rsidP="00406FEC">
      <w:pPr>
        <w:spacing w:before="0"/>
        <w:rPr>
          <w:sz w:val="20"/>
          <w:szCs w:val="20"/>
        </w:rPr>
      </w:pPr>
      <w:r>
        <w:rPr>
          <w:sz w:val="20"/>
          <w:szCs w:val="20"/>
        </w:rPr>
        <w:t>*B</w:t>
      </w:r>
      <w:r w:rsidRPr="004F3894">
        <w:rPr>
          <w:sz w:val="20"/>
          <w:szCs w:val="20"/>
        </w:rPr>
        <w:t>ased on Statistics NZ 201</w:t>
      </w:r>
      <w:r>
        <w:rPr>
          <w:sz w:val="20"/>
          <w:szCs w:val="20"/>
        </w:rPr>
        <w:t>7</w:t>
      </w:r>
      <w:r w:rsidRPr="004F3894">
        <w:rPr>
          <w:sz w:val="20"/>
          <w:szCs w:val="20"/>
        </w:rPr>
        <w:t xml:space="preserve"> population estimate</w:t>
      </w:r>
    </w:p>
    <w:p w14:paraId="6FA8E974" w14:textId="389B6C1C" w:rsidR="00465454" w:rsidRDefault="00465454" w:rsidP="00465454">
      <w:pPr>
        <w:pStyle w:val="ListParagraph"/>
        <w:keepLines w:val="0"/>
        <w:numPr>
          <w:ilvl w:val="0"/>
          <w:numId w:val="25"/>
        </w:numPr>
        <w:spacing w:before="0" w:after="120" w:line="280" w:lineRule="atLeast"/>
        <w:ind w:left="567" w:hanging="567"/>
      </w:pPr>
      <w:r>
        <w:t xml:space="preserve">In addition to a new fourth ward, the proposal included a boundary change between </w:t>
      </w:r>
      <w:r w:rsidR="001D5B98">
        <w:t xml:space="preserve">the </w:t>
      </w:r>
      <w:r>
        <w:t>West Coast</w:t>
      </w:r>
      <w:r w:rsidR="001D5B98">
        <w:t>-</w:t>
      </w:r>
      <w:r>
        <w:t xml:space="preserve">Central and </w:t>
      </w:r>
      <w:proofErr w:type="spellStart"/>
      <w:r>
        <w:t>Otamatea</w:t>
      </w:r>
      <w:proofErr w:type="spellEnd"/>
      <w:r>
        <w:t xml:space="preserve"> wards involving the transfer of the </w:t>
      </w:r>
      <w:proofErr w:type="spellStart"/>
      <w:r>
        <w:t>Ararua</w:t>
      </w:r>
      <w:proofErr w:type="spellEnd"/>
      <w:r>
        <w:t xml:space="preserve">/ </w:t>
      </w:r>
      <w:proofErr w:type="spellStart"/>
      <w:r>
        <w:t>Matakohe</w:t>
      </w:r>
      <w:proofErr w:type="spellEnd"/>
      <w:r>
        <w:t xml:space="preserve"> area </w:t>
      </w:r>
      <w:proofErr w:type="gramStart"/>
      <w:r>
        <w:t>from  West</w:t>
      </w:r>
      <w:proofErr w:type="gramEnd"/>
      <w:r>
        <w:t xml:space="preserve"> Coast</w:t>
      </w:r>
      <w:r w:rsidR="001D5B98">
        <w:t>-</w:t>
      </w:r>
      <w:r>
        <w:t xml:space="preserve">Central Ward to </w:t>
      </w:r>
      <w:proofErr w:type="spellStart"/>
      <w:r>
        <w:t>Otamatea</w:t>
      </w:r>
      <w:proofErr w:type="spellEnd"/>
      <w:r>
        <w:t xml:space="preserve"> Ward. This would result in a return to the previous boundary altered in the Commission’s 2012 determination </w:t>
      </w:r>
      <w:proofErr w:type="gramStart"/>
      <w:r>
        <w:t>in order to</w:t>
      </w:r>
      <w:proofErr w:type="gramEnd"/>
      <w:r>
        <w:t xml:space="preserve"> achieve compliance with fair representation requirements.</w:t>
      </w:r>
    </w:p>
    <w:p w14:paraId="43108486" w14:textId="364CE37C" w:rsidR="00465454" w:rsidRPr="00465454" w:rsidRDefault="00465454"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The proposal was also for there to </w:t>
      </w:r>
      <w:r w:rsidR="00953AC0">
        <w:rPr>
          <w:rFonts w:asciiTheme="minorHAnsi" w:hAnsiTheme="minorHAnsi" w:cs="Arial"/>
        </w:rPr>
        <w:t xml:space="preserve">continue to </w:t>
      </w:r>
      <w:r>
        <w:rPr>
          <w:rFonts w:asciiTheme="minorHAnsi" w:hAnsiTheme="minorHAnsi" w:cs="Arial"/>
        </w:rPr>
        <w:t>be no community boards in the district.</w:t>
      </w:r>
    </w:p>
    <w:p w14:paraId="66DD1D43" w14:textId="77777777" w:rsidR="00FC63EC" w:rsidRPr="00FC63EC" w:rsidRDefault="00465454" w:rsidP="00AF63A5">
      <w:pPr>
        <w:pStyle w:val="ListParagraph"/>
        <w:keepLines w:val="0"/>
        <w:numPr>
          <w:ilvl w:val="0"/>
          <w:numId w:val="25"/>
        </w:numPr>
        <w:ind w:left="567" w:hanging="567"/>
        <w:rPr>
          <w:rFonts w:asciiTheme="minorHAnsi" w:hAnsiTheme="minorHAnsi" w:cs="Arial"/>
        </w:rPr>
      </w:pPr>
      <w:r>
        <w:t>The council</w:t>
      </w:r>
      <w:r w:rsidR="00AF63A5">
        <w:t xml:space="preserve"> notified its initial proposal on </w:t>
      </w:r>
      <w:r>
        <w:t>1</w:t>
      </w:r>
      <w:r w:rsidR="00AF63A5">
        <w:t xml:space="preserve"> </w:t>
      </w:r>
      <w:r>
        <w:t>A</w:t>
      </w:r>
      <w:r w:rsidR="00AF63A5">
        <w:t>u</w:t>
      </w:r>
      <w:r>
        <w:t>gust</w:t>
      </w:r>
      <w:r w:rsidR="00AF63A5">
        <w:t xml:space="preserve"> 2018 and </w:t>
      </w:r>
      <w:r>
        <w:t>called for submissions</w:t>
      </w:r>
      <w:r w:rsidR="00FC63EC">
        <w:t xml:space="preserve"> by 31 August 2018.</w:t>
      </w:r>
    </w:p>
    <w:p w14:paraId="3292DE00" w14:textId="60A7D46B" w:rsidR="00AF63A5" w:rsidRPr="00CF058B" w:rsidRDefault="00FC63EC" w:rsidP="00AF63A5">
      <w:pPr>
        <w:pStyle w:val="ListParagraph"/>
        <w:keepLines w:val="0"/>
        <w:numPr>
          <w:ilvl w:val="0"/>
          <w:numId w:val="25"/>
        </w:numPr>
        <w:ind w:left="567" w:hanging="567"/>
        <w:rPr>
          <w:rFonts w:asciiTheme="minorHAnsi" w:hAnsiTheme="minorHAnsi" w:cs="Arial"/>
        </w:rPr>
      </w:pPr>
      <w:r>
        <w:t xml:space="preserve">The council </w:t>
      </w:r>
      <w:r w:rsidR="00AF63A5">
        <w:t xml:space="preserve">received </w:t>
      </w:r>
      <w:r>
        <w:t>81</w:t>
      </w:r>
      <w:r w:rsidR="00AF63A5">
        <w:t xml:space="preserve"> submissions</w:t>
      </w:r>
      <w:r>
        <w:t xml:space="preserve"> with 28 supporting the proposal and 53 opposing the proposal</w:t>
      </w:r>
      <w:r w:rsidR="00AF63A5">
        <w:t>.</w:t>
      </w:r>
    </w:p>
    <w:p w14:paraId="3292DE0A" w14:textId="1E83D789" w:rsidR="00AF63A5" w:rsidRPr="006A033C" w:rsidRDefault="00AF63A5" w:rsidP="00AF63A5">
      <w:pPr>
        <w:pStyle w:val="ListParagraph"/>
        <w:keepLines w:val="0"/>
        <w:numPr>
          <w:ilvl w:val="0"/>
          <w:numId w:val="25"/>
        </w:numPr>
        <w:ind w:left="567" w:hanging="567"/>
        <w:rPr>
          <w:rFonts w:asciiTheme="minorHAnsi" w:hAnsiTheme="minorHAnsi" w:cs="Arial"/>
        </w:rPr>
      </w:pPr>
      <w:r>
        <w:t xml:space="preserve">At a meeting on </w:t>
      </w:r>
      <w:r w:rsidR="00FC63EC">
        <w:t>9 Octo</w:t>
      </w:r>
      <w:r>
        <w:t xml:space="preserve">ber 2018, the council, after considering the submissions, resolved to adopt its </w:t>
      </w:r>
      <w:r w:rsidR="00FC63EC">
        <w:t xml:space="preserve">initial proposal as it </w:t>
      </w:r>
      <w:r>
        <w:t>final representation proposal</w:t>
      </w:r>
      <w:r w:rsidR="00FC63EC">
        <w:t>.</w:t>
      </w:r>
    </w:p>
    <w:p w14:paraId="3292DE12" w14:textId="04F377CA" w:rsidR="00AF63A5" w:rsidRPr="00FC63EC" w:rsidRDefault="00AF63A5" w:rsidP="00AF63A5">
      <w:pPr>
        <w:pStyle w:val="ListParagraph"/>
        <w:keepLines w:val="0"/>
        <w:numPr>
          <w:ilvl w:val="0"/>
          <w:numId w:val="25"/>
        </w:numPr>
        <w:ind w:left="567" w:hanging="567"/>
        <w:rPr>
          <w:rFonts w:asciiTheme="minorHAnsi" w:hAnsiTheme="minorHAnsi" w:cs="Arial"/>
        </w:rPr>
      </w:pPr>
      <w:r>
        <w:t xml:space="preserve">In notifying its final proposal, the council gave the following reasons for its decisions: </w:t>
      </w:r>
    </w:p>
    <w:p w14:paraId="25A30965" w14:textId="77777777" w:rsidR="00FC63EC" w:rsidRDefault="00FC63EC" w:rsidP="00FC63EC">
      <w:pPr>
        <w:pStyle w:val="ListParagraph"/>
        <w:keepNext/>
        <w:keepLines w:val="0"/>
        <w:numPr>
          <w:ilvl w:val="1"/>
          <w:numId w:val="25"/>
        </w:numPr>
        <w:spacing w:before="0" w:after="120" w:line="280" w:lineRule="atLeast"/>
      </w:pPr>
      <w:r w:rsidRPr="0077167B">
        <w:rPr>
          <w:i/>
        </w:rPr>
        <w:t xml:space="preserve">the east/west balance: </w:t>
      </w:r>
      <w:r>
        <w:t>the four-ward structure, two in the east (with four councillors) and two in the west (with four councillors) provides balanced representation for the district’s communities and individuals</w:t>
      </w:r>
    </w:p>
    <w:p w14:paraId="7AAC31F1" w14:textId="77777777" w:rsidR="00FC63EC" w:rsidRDefault="00FC63EC" w:rsidP="00FC63EC">
      <w:pPr>
        <w:pStyle w:val="ListParagraph"/>
        <w:keepNext/>
        <w:keepLines w:val="0"/>
        <w:numPr>
          <w:ilvl w:val="1"/>
          <w:numId w:val="25"/>
        </w:numPr>
        <w:spacing w:before="0" w:after="120" w:line="280" w:lineRule="atLeast"/>
      </w:pPr>
      <w:r w:rsidRPr="0077167B">
        <w:rPr>
          <w:i/>
        </w:rPr>
        <w:t xml:space="preserve">the number of councillors: </w:t>
      </w:r>
      <w:r>
        <w:t>eight councillors provide fair and effective representation, this was supported by preliminary consultation prior to the initial proposal, plus significant opposition to nine councillors when considered at the last representation review</w:t>
      </w:r>
    </w:p>
    <w:p w14:paraId="3B04EAFA" w14:textId="77777777" w:rsidR="00FC63EC" w:rsidRDefault="00FC63EC" w:rsidP="00FC63EC">
      <w:pPr>
        <w:pStyle w:val="ListParagraph"/>
        <w:keepNext/>
        <w:keepLines w:val="0"/>
        <w:numPr>
          <w:ilvl w:val="1"/>
          <w:numId w:val="25"/>
        </w:numPr>
        <w:spacing w:before="0" w:after="120" w:line="280" w:lineRule="atLeast"/>
      </w:pPr>
      <w:r w:rsidRPr="0077167B">
        <w:rPr>
          <w:i/>
        </w:rPr>
        <w:t xml:space="preserve">adequate representation of </w:t>
      </w:r>
      <w:proofErr w:type="spellStart"/>
      <w:r w:rsidRPr="0077167B">
        <w:rPr>
          <w:i/>
        </w:rPr>
        <w:t>Mangawhai</w:t>
      </w:r>
      <w:proofErr w:type="spellEnd"/>
      <w:r w:rsidRPr="0077167B">
        <w:rPr>
          <w:i/>
        </w:rPr>
        <w:t xml:space="preserve"> area: </w:t>
      </w:r>
      <w:r>
        <w:t xml:space="preserve">the establishment of a new </w:t>
      </w:r>
      <w:proofErr w:type="spellStart"/>
      <w:r>
        <w:t>Kaiwaka-Mangawhai</w:t>
      </w:r>
      <w:proofErr w:type="spellEnd"/>
      <w:r>
        <w:t xml:space="preserve"> Ward (with two councillors) directly addresses the need for representation from the south-east of the district</w:t>
      </w:r>
    </w:p>
    <w:p w14:paraId="03D958D4" w14:textId="77777777" w:rsidR="00FC63EC" w:rsidRDefault="00FC63EC" w:rsidP="00FC63EC">
      <w:pPr>
        <w:pStyle w:val="ListParagraph"/>
        <w:keepNext/>
        <w:keepLines w:val="0"/>
        <w:numPr>
          <w:ilvl w:val="1"/>
          <w:numId w:val="25"/>
        </w:numPr>
        <w:spacing w:before="0" w:after="120" w:line="280" w:lineRule="atLeast"/>
      </w:pPr>
      <w:r w:rsidRPr="0077167B">
        <w:rPr>
          <w:i/>
        </w:rPr>
        <w:t>recognition of communities of interest:</w:t>
      </w:r>
      <w:r>
        <w:t xml:space="preserve"> the proposed ward structure reflects the district’s different communities of interest (specifically reflecting community involvement and access to goods and services)</w:t>
      </w:r>
    </w:p>
    <w:p w14:paraId="44315DC2" w14:textId="77777777" w:rsidR="00FC63EC" w:rsidRDefault="00FC63EC" w:rsidP="00FC63EC">
      <w:pPr>
        <w:pStyle w:val="ListParagraph"/>
        <w:keepNext/>
        <w:keepLines w:val="0"/>
        <w:numPr>
          <w:ilvl w:val="1"/>
          <w:numId w:val="25"/>
        </w:numPr>
        <w:spacing w:before="0" w:after="120" w:line="280" w:lineRule="atLeast"/>
      </w:pPr>
      <w:r w:rsidRPr="0077167B">
        <w:rPr>
          <w:i/>
        </w:rPr>
        <w:t>democratic process:</w:t>
      </w:r>
      <w:r>
        <w:t xml:space="preserve"> the final proposal meets the legislative requirements of identifying communities of interest and providing fair and effective representation.</w:t>
      </w:r>
    </w:p>
    <w:p w14:paraId="3292DE17" w14:textId="2B4B442C" w:rsidR="00AF63A5" w:rsidRPr="00E65B1D" w:rsidRDefault="00AF63A5" w:rsidP="00AF63A5">
      <w:pPr>
        <w:pStyle w:val="ListParagraph"/>
        <w:keepLines w:val="0"/>
        <w:numPr>
          <w:ilvl w:val="0"/>
          <w:numId w:val="25"/>
        </w:numPr>
        <w:ind w:left="567" w:hanging="567"/>
        <w:rPr>
          <w:rFonts w:asciiTheme="minorHAnsi" w:hAnsiTheme="minorHAnsi" w:cs="Arial"/>
        </w:rPr>
      </w:pPr>
      <w:r>
        <w:t xml:space="preserve">The final representation proposal was notified on </w:t>
      </w:r>
      <w:r w:rsidR="00FC63EC">
        <w:t>12</w:t>
      </w:r>
      <w:r>
        <w:t xml:space="preserve"> October 2018 and appeals</w:t>
      </w:r>
      <w:r w:rsidR="00FC63EC">
        <w:t xml:space="preserve"> invited by 12 </w:t>
      </w:r>
      <w:r>
        <w:t xml:space="preserve">November 2018. </w:t>
      </w:r>
      <w:r w:rsidR="00FC63EC">
        <w:t>Four</w:t>
      </w:r>
      <w:r>
        <w:t xml:space="preserve"> appeals against the council’s final proposal were received.</w:t>
      </w:r>
    </w:p>
    <w:p w14:paraId="3292DE18" w14:textId="25AA5F9D" w:rsidR="00AF63A5" w:rsidRPr="009D3695" w:rsidRDefault="00AF63A5" w:rsidP="00AF63A5">
      <w:pPr>
        <w:pStyle w:val="Heading3"/>
        <w:tabs>
          <w:tab w:val="left" w:pos="8080"/>
        </w:tabs>
        <w:spacing w:before="0" w:after="240"/>
        <w:jc w:val="both"/>
        <w:rPr>
          <w:rFonts w:asciiTheme="minorHAnsi" w:hAnsiTheme="minorHAnsi"/>
          <w:szCs w:val="28"/>
        </w:rPr>
      </w:pPr>
      <w:r>
        <w:rPr>
          <w:rFonts w:asciiTheme="minorHAnsi" w:hAnsiTheme="minorHAnsi"/>
          <w:szCs w:val="28"/>
        </w:rPr>
        <w:t>Appe</w:t>
      </w:r>
      <w:r w:rsidRPr="009D3695">
        <w:rPr>
          <w:rFonts w:asciiTheme="minorHAnsi" w:hAnsiTheme="minorHAnsi"/>
          <w:szCs w:val="28"/>
        </w:rPr>
        <w:t>a</w:t>
      </w:r>
      <w:r>
        <w:rPr>
          <w:rFonts w:asciiTheme="minorHAnsi" w:hAnsiTheme="minorHAnsi"/>
          <w:szCs w:val="28"/>
        </w:rPr>
        <w:t>ls a</w:t>
      </w:r>
      <w:r w:rsidRPr="009D3695">
        <w:rPr>
          <w:rFonts w:asciiTheme="minorHAnsi" w:hAnsiTheme="minorHAnsi"/>
          <w:szCs w:val="28"/>
        </w:rPr>
        <w:t>g</w:t>
      </w:r>
      <w:r>
        <w:rPr>
          <w:rFonts w:asciiTheme="minorHAnsi" w:hAnsiTheme="minorHAnsi"/>
          <w:szCs w:val="28"/>
        </w:rPr>
        <w:t>ainst the c</w:t>
      </w:r>
      <w:r w:rsidRPr="009D3695">
        <w:rPr>
          <w:rFonts w:asciiTheme="minorHAnsi" w:hAnsiTheme="minorHAnsi"/>
          <w:szCs w:val="28"/>
        </w:rPr>
        <w:t>oun</w:t>
      </w:r>
      <w:r>
        <w:rPr>
          <w:rFonts w:asciiTheme="minorHAnsi" w:hAnsiTheme="minorHAnsi"/>
          <w:szCs w:val="28"/>
        </w:rPr>
        <w:t>cil’s final proposal</w:t>
      </w:r>
    </w:p>
    <w:p w14:paraId="3292DE19" w14:textId="3B34C9AD" w:rsidR="00AF63A5" w:rsidRPr="00FA00C8" w:rsidRDefault="00AF63A5" w:rsidP="00AF63A5">
      <w:pPr>
        <w:pStyle w:val="ListParagraph"/>
        <w:keepLines w:val="0"/>
        <w:numPr>
          <w:ilvl w:val="0"/>
          <w:numId w:val="25"/>
        </w:numPr>
        <w:ind w:left="567" w:hanging="567"/>
        <w:rPr>
          <w:rFonts w:asciiTheme="minorHAnsi" w:hAnsiTheme="minorHAnsi" w:cs="Arial"/>
        </w:rPr>
      </w:pPr>
      <w:r>
        <w:t>Appeals against the council’s final proposal were received from:</w:t>
      </w:r>
    </w:p>
    <w:p w14:paraId="3292DE1A" w14:textId="60099215" w:rsidR="00AF63A5" w:rsidRPr="00506E35" w:rsidRDefault="00A71F46" w:rsidP="00AF63A5">
      <w:pPr>
        <w:pStyle w:val="ListParagraph"/>
        <w:keepLines w:val="0"/>
        <w:numPr>
          <w:ilvl w:val="1"/>
          <w:numId w:val="36"/>
        </w:numPr>
        <w:rPr>
          <w:rFonts w:asciiTheme="minorHAnsi" w:hAnsiTheme="minorHAnsi" w:cs="Arial"/>
        </w:rPr>
      </w:pPr>
      <w:r>
        <w:t>Helen</w:t>
      </w:r>
      <w:r w:rsidR="00156ECB">
        <w:t xml:space="preserve"> </w:t>
      </w:r>
      <w:proofErr w:type="spellStart"/>
      <w:r w:rsidR="00156ECB">
        <w:t>Curreen</w:t>
      </w:r>
      <w:proofErr w:type="spellEnd"/>
      <w:r w:rsidR="00AF63A5">
        <w:t xml:space="preserve"> – appealed against the </w:t>
      </w:r>
      <w:r w:rsidR="00156ECB">
        <w:t xml:space="preserve">proposed ward arrangements and particularly under-representation for the </w:t>
      </w:r>
      <w:proofErr w:type="spellStart"/>
      <w:r w:rsidR="00156ECB">
        <w:t>Mangawhai</w:t>
      </w:r>
      <w:proofErr w:type="spellEnd"/>
      <w:r w:rsidR="00156ECB">
        <w:t xml:space="preserve"> community</w:t>
      </w:r>
      <w:r w:rsidR="00AF63A5">
        <w:t>.</w:t>
      </w:r>
    </w:p>
    <w:p w14:paraId="3292DE1B" w14:textId="1BCD0C8D" w:rsidR="00AF63A5" w:rsidRPr="00506E35" w:rsidRDefault="00156ECB" w:rsidP="00AF63A5">
      <w:pPr>
        <w:pStyle w:val="ListParagraph"/>
        <w:keepLines w:val="0"/>
        <w:numPr>
          <w:ilvl w:val="1"/>
          <w:numId w:val="36"/>
        </w:numPr>
        <w:rPr>
          <w:rFonts w:asciiTheme="minorHAnsi" w:hAnsiTheme="minorHAnsi" w:cs="Arial"/>
        </w:rPr>
      </w:pPr>
      <w:r>
        <w:t xml:space="preserve">Craig </w:t>
      </w:r>
      <w:proofErr w:type="spellStart"/>
      <w:r>
        <w:t>Prouting</w:t>
      </w:r>
      <w:proofErr w:type="spellEnd"/>
      <w:r w:rsidR="00AF63A5">
        <w:t xml:space="preserve"> </w:t>
      </w:r>
      <w:r>
        <w:t xml:space="preserve">(on behalf of </w:t>
      </w:r>
      <w:proofErr w:type="spellStart"/>
      <w:r>
        <w:t>Hakarau</w:t>
      </w:r>
      <w:proofErr w:type="spellEnd"/>
      <w:r>
        <w:t xml:space="preserve"> Community Hall and Domain Society) </w:t>
      </w:r>
      <w:r w:rsidR="00AF63A5">
        <w:t xml:space="preserve">– </w:t>
      </w:r>
      <w:r>
        <w:t xml:space="preserve">appealed against the name of </w:t>
      </w:r>
      <w:proofErr w:type="spellStart"/>
      <w:r>
        <w:t>Kaiwaka-Mangawhai</w:t>
      </w:r>
      <w:proofErr w:type="spellEnd"/>
      <w:r>
        <w:t xml:space="preserve"> Ward</w:t>
      </w:r>
      <w:r w:rsidR="00AF63A5">
        <w:t>.</w:t>
      </w:r>
    </w:p>
    <w:p w14:paraId="3292DE1C" w14:textId="12E5E1AB" w:rsidR="00AF63A5" w:rsidRPr="00506E35" w:rsidRDefault="00156ECB" w:rsidP="00AF63A5">
      <w:pPr>
        <w:pStyle w:val="ListParagraph"/>
        <w:keepLines w:val="0"/>
        <w:numPr>
          <w:ilvl w:val="1"/>
          <w:numId w:val="36"/>
        </w:numPr>
        <w:rPr>
          <w:rFonts w:asciiTheme="minorHAnsi" w:hAnsiTheme="minorHAnsi" w:cs="Arial"/>
        </w:rPr>
      </w:pPr>
      <w:r>
        <w:t xml:space="preserve">Clive </w:t>
      </w:r>
      <w:proofErr w:type="spellStart"/>
      <w:r>
        <w:t>Boonham</w:t>
      </w:r>
      <w:proofErr w:type="spellEnd"/>
      <w:r w:rsidR="00AF63A5">
        <w:t xml:space="preserve"> – appealed against the </w:t>
      </w:r>
      <w:r>
        <w:t>council’s failure to properly consider the principles of the Local Electoral Act in determining its final proposal and some process issues</w:t>
      </w:r>
      <w:r w:rsidR="00AF63A5">
        <w:t>.</w:t>
      </w:r>
    </w:p>
    <w:p w14:paraId="3292DE1D" w14:textId="03173DCF" w:rsidR="00AF63A5" w:rsidRPr="00506E35" w:rsidRDefault="00156ECB" w:rsidP="00AF63A5">
      <w:pPr>
        <w:pStyle w:val="ListParagraph"/>
        <w:keepLines w:val="0"/>
        <w:numPr>
          <w:ilvl w:val="1"/>
          <w:numId w:val="36"/>
        </w:numPr>
        <w:rPr>
          <w:rFonts w:asciiTheme="minorHAnsi" w:hAnsiTheme="minorHAnsi" w:cs="Arial"/>
        </w:rPr>
      </w:pPr>
      <w:r>
        <w:t>Paul Smith</w:t>
      </w:r>
      <w:r w:rsidR="00AF63A5">
        <w:t xml:space="preserve"> – appealed against </w:t>
      </w:r>
      <w:r>
        <w:t xml:space="preserve">the </w:t>
      </w:r>
      <w:r w:rsidR="00AF63A5">
        <w:t>council</w:t>
      </w:r>
      <w:r>
        <w:t>’</w:t>
      </w:r>
      <w:r w:rsidR="00AF63A5">
        <w:t>s</w:t>
      </w:r>
      <w:r>
        <w:t xml:space="preserve"> failure to meet the fair representation requirements of the legislation</w:t>
      </w:r>
      <w:r w:rsidR="00AF63A5">
        <w:t>.</w:t>
      </w:r>
    </w:p>
    <w:p w14:paraId="3292DE25" w14:textId="05A84F33" w:rsidR="00AF63A5" w:rsidRPr="00275670" w:rsidRDefault="00AF63A5" w:rsidP="00AF63A5">
      <w:pPr>
        <w:pStyle w:val="Heading3"/>
        <w:spacing w:before="0"/>
        <w:jc w:val="both"/>
        <w:rPr>
          <w:rFonts w:asciiTheme="minorHAnsi" w:hAnsiTheme="minorHAnsi" w:cstheme="minorHAnsi"/>
          <w:i/>
          <w:sz w:val="24"/>
          <w:szCs w:val="24"/>
        </w:rPr>
      </w:pPr>
      <w:r w:rsidRPr="00275670">
        <w:rPr>
          <w:rFonts w:asciiTheme="minorHAnsi" w:hAnsiTheme="minorHAnsi" w:cstheme="minorHAnsi"/>
          <w:i/>
          <w:sz w:val="24"/>
          <w:szCs w:val="24"/>
        </w:rPr>
        <w:t>Hearing of appeals</w:t>
      </w:r>
    </w:p>
    <w:p w14:paraId="3292DE26" w14:textId="0A7C5D07" w:rsidR="00AF63A5" w:rsidRDefault="00AF63A5"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Arial"/>
        </w:rPr>
        <w:t xml:space="preserve">The Commission met with the council and </w:t>
      </w:r>
      <w:r w:rsidR="00156ECB">
        <w:rPr>
          <w:rFonts w:asciiTheme="minorHAnsi" w:hAnsiTheme="minorHAnsi" w:cs="Arial"/>
        </w:rPr>
        <w:t>thre</w:t>
      </w:r>
      <w:r>
        <w:rPr>
          <w:rFonts w:asciiTheme="minorHAnsi" w:hAnsiTheme="minorHAnsi" w:cs="Arial"/>
        </w:rPr>
        <w:t xml:space="preserve">e of the appellants who wished to be heard, at a hearing held in </w:t>
      </w:r>
      <w:proofErr w:type="spellStart"/>
      <w:r w:rsidR="00156ECB">
        <w:rPr>
          <w:rFonts w:asciiTheme="minorHAnsi" w:hAnsiTheme="minorHAnsi" w:cs="Arial"/>
        </w:rPr>
        <w:t>Mangawhai</w:t>
      </w:r>
      <w:proofErr w:type="spellEnd"/>
      <w:r>
        <w:rPr>
          <w:rFonts w:asciiTheme="minorHAnsi" w:hAnsiTheme="minorHAnsi" w:cs="Arial"/>
        </w:rPr>
        <w:t xml:space="preserve"> on </w:t>
      </w:r>
      <w:r w:rsidR="00156ECB">
        <w:rPr>
          <w:rFonts w:asciiTheme="minorHAnsi" w:hAnsiTheme="minorHAnsi" w:cs="Arial"/>
        </w:rPr>
        <w:t>14</w:t>
      </w:r>
      <w:r>
        <w:rPr>
          <w:rFonts w:asciiTheme="minorHAnsi" w:hAnsiTheme="minorHAnsi" w:cs="Arial"/>
        </w:rPr>
        <w:t xml:space="preserve"> </w:t>
      </w:r>
      <w:r w:rsidR="00156ECB">
        <w:rPr>
          <w:rFonts w:asciiTheme="minorHAnsi" w:hAnsiTheme="minorHAnsi" w:cs="Arial"/>
        </w:rPr>
        <w:t>March</w:t>
      </w:r>
      <w:r>
        <w:rPr>
          <w:rFonts w:asciiTheme="minorHAnsi" w:hAnsiTheme="minorHAnsi" w:cs="Arial"/>
        </w:rPr>
        <w:t xml:space="preserve"> 2019.</w:t>
      </w:r>
    </w:p>
    <w:p w14:paraId="3292DE27" w14:textId="2EC47E93" w:rsidR="00AF63A5" w:rsidRDefault="00AF63A5"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Arial"/>
        </w:rPr>
        <w:t xml:space="preserve">The council was represented by mayor </w:t>
      </w:r>
      <w:r w:rsidR="00854699">
        <w:rPr>
          <w:rFonts w:asciiTheme="minorHAnsi" w:hAnsiTheme="minorHAnsi" w:cs="Arial"/>
        </w:rPr>
        <w:t>Jason Smith</w:t>
      </w:r>
      <w:r>
        <w:rPr>
          <w:rFonts w:asciiTheme="minorHAnsi" w:hAnsiTheme="minorHAnsi" w:cs="Arial"/>
        </w:rPr>
        <w:t xml:space="preserve"> and chief executive </w:t>
      </w:r>
      <w:r w:rsidR="00854699">
        <w:rPr>
          <w:rFonts w:asciiTheme="minorHAnsi" w:hAnsiTheme="minorHAnsi" w:cs="Arial"/>
        </w:rPr>
        <w:t xml:space="preserve">Louise </w:t>
      </w:r>
      <w:r>
        <w:rPr>
          <w:rFonts w:asciiTheme="minorHAnsi" w:hAnsiTheme="minorHAnsi" w:cs="Arial"/>
        </w:rPr>
        <w:t>Mi</w:t>
      </w:r>
      <w:r w:rsidR="00854699">
        <w:rPr>
          <w:rFonts w:asciiTheme="minorHAnsi" w:hAnsiTheme="minorHAnsi" w:cs="Arial"/>
        </w:rPr>
        <w:t>ller</w:t>
      </w:r>
      <w:r>
        <w:rPr>
          <w:rFonts w:asciiTheme="minorHAnsi" w:hAnsiTheme="minorHAnsi" w:cs="Arial"/>
        </w:rPr>
        <w:t>.</w:t>
      </w:r>
    </w:p>
    <w:p w14:paraId="3292DE28" w14:textId="77777777" w:rsidR="00AF63A5" w:rsidRDefault="00AF63A5" w:rsidP="00AF63A5">
      <w:pPr>
        <w:keepLines w:val="0"/>
        <w:rPr>
          <w:rFonts w:asciiTheme="minorHAnsi" w:hAnsiTheme="minorHAnsi" w:cstheme="minorHAnsi"/>
          <w:b/>
          <w:bCs/>
          <w:i/>
          <w:color w:val="1F546B"/>
        </w:rPr>
      </w:pPr>
      <w:r>
        <w:rPr>
          <w:rFonts w:asciiTheme="minorHAnsi" w:hAnsiTheme="minorHAnsi" w:cstheme="minorHAnsi"/>
          <w:i/>
        </w:rPr>
        <w:br w:type="page"/>
      </w:r>
    </w:p>
    <w:p w14:paraId="3292DE29" w14:textId="4282E540" w:rsidR="00AF63A5" w:rsidRPr="00275670" w:rsidRDefault="00AF63A5" w:rsidP="00AF63A5">
      <w:pPr>
        <w:pStyle w:val="Heading3"/>
        <w:spacing w:before="0"/>
        <w:jc w:val="both"/>
        <w:rPr>
          <w:rFonts w:asciiTheme="minorHAnsi" w:hAnsiTheme="minorHAnsi" w:cstheme="minorHAnsi"/>
          <w:i/>
          <w:sz w:val="24"/>
          <w:szCs w:val="24"/>
        </w:rPr>
      </w:pPr>
      <w:r>
        <w:rPr>
          <w:rFonts w:asciiTheme="minorHAnsi" w:hAnsiTheme="minorHAnsi" w:cstheme="minorHAnsi"/>
          <w:i/>
          <w:sz w:val="24"/>
          <w:szCs w:val="24"/>
        </w:rPr>
        <w:t>Matters raised at h</w:t>
      </w:r>
      <w:r w:rsidRPr="00275670">
        <w:rPr>
          <w:rFonts w:asciiTheme="minorHAnsi" w:hAnsiTheme="minorHAnsi" w:cstheme="minorHAnsi"/>
          <w:i/>
          <w:sz w:val="24"/>
          <w:szCs w:val="24"/>
        </w:rPr>
        <w:t xml:space="preserve">earing </w:t>
      </w:r>
      <w:r>
        <w:rPr>
          <w:rFonts w:asciiTheme="minorHAnsi" w:hAnsiTheme="minorHAnsi" w:cstheme="minorHAnsi"/>
          <w:i/>
          <w:sz w:val="24"/>
          <w:szCs w:val="24"/>
        </w:rPr>
        <w:t xml:space="preserve">and in </w:t>
      </w:r>
      <w:r w:rsidRPr="00275670">
        <w:rPr>
          <w:rFonts w:asciiTheme="minorHAnsi" w:hAnsiTheme="minorHAnsi" w:cstheme="minorHAnsi"/>
          <w:i/>
          <w:sz w:val="24"/>
          <w:szCs w:val="24"/>
        </w:rPr>
        <w:t>appeals</w:t>
      </w:r>
    </w:p>
    <w:p w14:paraId="3292DE2A" w14:textId="308D1460" w:rsidR="00AF63A5" w:rsidRPr="00E01785" w:rsidRDefault="00854699" w:rsidP="00AF63A5">
      <w:pPr>
        <w:keepLines w:val="0"/>
        <w:rPr>
          <w:rFonts w:asciiTheme="minorHAnsi" w:hAnsiTheme="minorHAnsi" w:cs="Arial"/>
          <w:i/>
        </w:rPr>
      </w:pPr>
      <w:r>
        <w:rPr>
          <w:rFonts w:asciiTheme="minorHAnsi" w:hAnsiTheme="minorHAnsi" w:cs="Arial"/>
          <w:i/>
        </w:rPr>
        <w:t>Kaipara</w:t>
      </w:r>
      <w:r w:rsidR="00AF63A5">
        <w:rPr>
          <w:rFonts w:asciiTheme="minorHAnsi" w:hAnsiTheme="minorHAnsi" w:cs="Arial"/>
          <w:i/>
        </w:rPr>
        <w:t xml:space="preserve"> District Council</w:t>
      </w:r>
    </w:p>
    <w:p w14:paraId="3292DE2B" w14:textId="3D8F4BC2" w:rsidR="00AF63A5" w:rsidRDefault="00AF63A5"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The mayor gave a presentation outlining the process the council had undertaken during the review</w:t>
      </w:r>
      <w:r w:rsidR="001711EA">
        <w:rPr>
          <w:rFonts w:asciiTheme="minorHAnsi" w:hAnsiTheme="minorHAnsi" w:cs="Arial"/>
        </w:rPr>
        <w:t xml:space="preserve">, </w:t>
      </w:r>
      <w:r>
        <w:rPr>
          <w:rFonts w:asciiTheme="minorHAnsi" w:hAnsiTheme="minorHAnsi" w:cs="Arial"/>
        </w:rPr>
        <w:t>the decisions reached</w:t>
      </w:r>
      <w:r w:rsidR="001711EA">
        <w:rPr>
          <w:rFonts w:asciiTheme="minorHAnsi" w:hAnsiTheme="minorHAnsi" w:cs="Arial"/>
        </w:rPr>
        <w:t xml:space="preserve"> and some context for those decisions</w:t>
      </w:r>
      <w:r>
        <w:rPr>
          <w:rFonts w:asciiTheme="minorHAnsi" w:hAnsiTheme="minorHAnsi" w:cs="Arial"/>
        </w:rPr>
        <w:t xml:space="preserve">. </w:t>
      </w:r>
      <w:r w:rsidR="001711EA">
        <w:rPr>
          <w:rFonts w:asciiTheme="minorHAnsi" w:hAnsiTheme="minorHAnsi" w:cs="Arial"/>
        </w:rPr>
        <w:t xml:space="preserve">This context included that </w:t>
      </w:r>
      <w:proofErr w:type="spellStart"/>
      <w:r w:rsidR="001711EA">
        <w:rPr>
          <w:rFonts w:asciiTheme="minorHAnsi" w:hAnsiTheme="minorHAnsi" w:cs="Arial"/>
        </w:rPr>
        <w:t>Dargaville</w:t>
      </w:r>
      <w:proofErr w:type="spellEnd"/>
      <w:r w:rsidR="001711EA">
        <w:rPr>
          <w:rFonts w:asciiTheme="minorHAnsi" w:hAnsiTheme="minorHAnsi" w:cs="Arial"/>
        </w:rPr>
        <w:t xml:space="preserve"> with a population of 4,200 and </w:t>
      </w:r>
      <w:proofErr w:type="spellStart"/>
      <w:r w:rsidR="001711EA">
        <w:rPr>
          <w:rFonts w:asciiTheme="minorHAnsi" w:hAnsiTheme="minorHAnsi" w:cs="Arial"/>
        </w:rPr>
        <w:t>Mangawhai</w:t>
      </w:r>
      <w:proofErr w:type="spellEnd"/>
      <w:r w:rsidR="001711EA">
        <w:rPr>
          <w:rFonts w:asciiTheme="minorHAnsi" w:hAnsiTheme="minorHAnsi" w:cs="Arial"/>
        </w:rPr>
        <w:t xml:space="preserve"> with a population of 3,700</w:t>
      </w:r>
      <w:r w:rsidR="00804664">
        <w:rPr>
          <w:rFonts w:asciiTheme="minorHAnsi" w:hAnsiTheme="minorHAnsi" w:cs="Arial"/>
        </w:rPr>
        <w:t>,</w:t>
      </w:r>
      <w:r w:rsidR="001711EA">
        <w:rPr>
          <w:rFonts w:asciiTheme="minorHAnsi" w:hAnsiTheme="minorHAnsi" w:cs="Arial"/>
        </w:rPr>
        <w:t xml:space="preserve"> had about a third of the district’s population and were an hour and a half drive apart. He also described Kaipara as </w:t>
      </w:r>
      <w:r w:rsidR="00F504E2">
        <w:rPr>
          <w:rFonts w:asciiTheme="minorHAnsi" w:hAnsiTheme="minorHAnsi" w:cs="Arial"/>
        </w:rPr>
        <w:t>having the</w:t>
      </w:r>
      <w:r w:rsidR="001711EA">
        <w:rPr>
          <w:rFonts w:asciiTheme="minorHAnsi" w:hAnsiTheme="minorHAnsi" w:cs="Arial"/>
        </w:rPr>
        <w:t xml:space="preserve"> fastest growing </w:t>
      </w:r>
      <w:r w:rsidR="00F504E2">
        <w:rPr>
          <w:rFonts w:asciiTheme="minorHAnsi" w:hAnsiTheme="minorHAnsi" w:cs="Arial"/>
        </w:rPr>
        <w:t xml:space="preserve">population in the North Island with most of this occurring in the east of the </w:t>
      </w:r>
      <w:r w:rsidR="001711EA">
        <w:rPr>
          <w:rFonts w:asciiTheme="minorHAnsi" w:hAnsiTheme="minorHAnsi" w:cs="Arial"/>
        </w:rPr>
        <w:t>district</w:t>
      </w:r>
      <w:r w:rsidR="00F504E2">
        <w:rPr>
          <w:rFonts w:asciiTheme="minorHAnsi" w:hAnsiTheme="minorHAnsi" w:cs="Arial"/>
        </w:rPr>
        <w:t>.</w:t>
      </w:r>
    </w:p>
    <w:p w14:paraId="6C0A8821" w14:textId="51611B13" w:rsidR="00F504E2" w:rsidRDefault="00F504E2"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One of the difficulties the district faced was reconciling the interests of the resident population with those of non-resident ratepayers which reflected the high </w:t>
      </w:r>
      <w:r w:rsidR="00804664">
        <w:rPr>
          <w:rFonts w:asciiTheme="minorHAnsi" w:hAnsiTheme="minorHAnsi" w:cs="Arial"/>
        </w:rPr>
        <w:t xml:space="preserve">and growing </w:t>
      </w:r>
      <w:r>
        <w:rPr>
          <w:rFonts w:asciiTheme="minorHAnsi" w:hAnsiTheme="minorHAnsi" w:cs="Arial"/>
        </w:rPr>
        <w:t>number of second/holiday homes in the district.</w:t>
      </w:r>
    </w:p>
    <w:p w14:paraId="3292DE2C" w14:textId="42128152" w:rsidR="00AF63A5" w:rsidRDefault="00F504E2"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In relation to the issue of community boards, t</w:t>
      </w:r>
      <w:r w:rsidR="00AF63A5">
        <w:rPr>
          <w:rFonts w:asciiTheme="minorHAnsi" w:hAnsiTheme="minorHAnsi" w:cs="Arial"/>
        </w:rPr>
        <w:t xml:space="preserve">he mayor </w:t>
      </w:r>
      <w:r>
        <w:rPr>
          <w:rFonts w:asciiTheme="minorHAnsi" w:hAnsiTheme="minorHAnsi" w:cs="Arial"/>
        </w:rPr>
        <w:t>said he saw a risk of over-governing and that he considered the wards were a better reflection of communities of interest.</w:t>
      </w:r>
      <w:r w:rsidR="00AF63A5">
        <w:rPr>
          <w:rFonts w:asciiTheme="minorHAnsi" w:hAnsiTheme="minorHAnsi" w:cs="Arial"/>
        </w:rPr>
        <w:t xml:space="preserve"> </w:t>
      </w:r>
    </w:p>
    <w:p w14:paraId="5AF7ED98" w14:textId="51EEECB6" w:rsidR="0073265E" w:rsidRDefault="0073265E"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In response to a question, the mayor said one of the key issues </w:t>
      </w:r>
      <w:r w:rsidR="00FE2746">
        <w:rPr>
          <w:rFonts w:asciiTheme="minorHAnsi" w:hAnsiTheme="minorHAnsi" w:cs="Arial"/>
        </w:rPr>
        <w:t>was for the council not to promote or be seen to promote a ‘hard line’ between the east</w:t>
      </w:r>
      <w:r w:rsidR="00953AC0">
        <w:rPr>
          <w:rFonts w:asciiTheme="minorHAnsi" w:hAnsiTheme="minorHAnsi" w:cs="Arial"/>
        </w:rPr>
        <w:t>ern</w:t>
      </w:r>
      <w:r w:rsidR="00FE2746">
        <w:rPr>
          <w:rFonts w:asciiTheme="minorHAnsi" w:hAnsiTheme="minorHAnsi" w:cs="Arial"/>
        </w:rPr>
        <w:t xml:space="preserve"> and west</w:t>
      </w:r>
      <w:r w:rsidR="00953AC0">
        <w:rPr>
          <w:rFonts w:asciiTheme="minorHAnsi" w:hAnsiTheme="minorHAnsi" w:cs="Arial"/>
        </w:rPr>
        <w:t>ern areas</w:t>
      </w:r>
      <w:r w:rsidR="00FE2746">
        <w:rPr>
          <w:rFonts w:asciiTheme="minorHAnsi" w:hAnsiTheme="minorHAnsi" w:cs="Arial"/>
        </w:rPr>
        <w:t xml:space="preserve"> of the district which were very different in nature.</w:t>
      </w:r>
    </w:p>
    <w:p w14:paraId="3292DE2F" w14:textId="3238E6C6" w:rsidR="00AF63A5" w:rsidRPr="00E020AA" w:rsidRDefault="00FE2746" w:rsidP="00AF63A5">
      <w:pPr>
        <w:keepLines w:val="0"/>
        <w:rPr>
          <w:rFonts w:asciiTheme="minorHAnsi" w:hAnsiTheme="minorHAnsi" w:cs="Arial"/>
          <w:i/>
        </w:rPr>
      </w:pPr>
      <w:r>
        <w:rPr>
          <w:rFonts w:asciiTheme="minorHAnsi" w:hAnsiTheme="minorHAnsi" w:cs="Arial"/>
          <w:i/>
        </w:rPr>
        <w:t xml:space="preserve">Helen </w:t>
      </w:r>
      <w:proofErr w:type="spellStart"/>
      <w:r>
        <w:rPr>
          <w:rFonts w:asciiTheme="minorHAnsi" w:hAnsiTheme="minorHAnsi" w:cs="Arial"/>
          <w:i/>
        </w:rPr>
        <w:t>Curreen</w:t>
      </w:r>
      <w:proofErr w:type="spellEnd"/>
    </w:p>
    <w:p w14:paraId="3292DE30" w14:textId="2B0B270B" w:rsidR="00AF63A5" w:rsidRDefault="00AF63A5"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Ms </w:t>
      </w:r>
      <w:proofErr w:type="spellStart"/>
      <w:r w:rsidR="00FE2746">
        <w:rPr>
          <w:rFonts w:asciiTheme="minorHAnsi" w:hAnsiTheme="minorHAnsi" w:cs="Arial"/>
        </w:rPr>
        <w:t>Curreen</w:t>
      </w:r>
      <w:proofErr w:type="spellEnd"/>
      <w:r>
        <w:rPr>
          <w:rFonts w:asciiTheme="minorHAnsi" w:hAnsiTheme="minorHAnsi" w:cs="Arial"/>
        </w:rPr>
        <w:t xml:space="preserve"> </w:t>
      </w:r>
      <w:r w:rsidR="00FE2746">
        <w:rPr>
          <w:rFonts w:asciiTheme="minorHAnsi" w:hAnsiTheme="minorHAnsi" w:cs="Arial"/>
        </w:rPr>
        <w:t xml:space="preserve">noted </w:t>
      </w:r>
      <w:r>
        <w:rPr>
          <w:rFonts w:asciiTheme="minorHAnsi" w:hAnsiTheme="minorHAnsi" w:cs="Arial"/>
        </w:rPr>
        <w:t xml:space="preserve">she was </w:t>
      </w:r>
      <w:r w:rsidR="00FE2746">
        <w:rPr>
          <w:rFonts w:asciiTheme="minorHAnsi" w:hAnsiTheme="minorHAnsi" w:cs="Arial"/>
        </w:rPr>
        <w:t>the sole appellant in the council’s previous review and that appeal was for similar reasons. Her main concern was what she considered to be ongoing under-representation for the eastern area of the district. The present</w:t>
      </w:r>
      <w:r w:rsidR="00BD151C">
        <w:rPr>
          <w:rFonts w:asciiTheme="minorHAnsi" w:hAnsiTheme="minorHAnsi" w:cs="Arial"/>
        </w:rPr>
        <w:t xml:space="preserve"> representation ratios favour </w:t>
      </w:r>
      <w:proofErr w:type="spellStart"/>
      <w:r w:rsidR="00BD151C">
        <w:rPr>
          <w:rFonts w:asciiTheme="minorHAnsi" w:hAnsiTheme="minorHAnsi" w:cs="Arial"/>
        </w:rPr>
        <w:t>Dargaville</w:t>
      </w:r>
      <w:proofErr w:type="spellEnd"/>
      <w:r w:rsidR="00BD151C">
        <w:rPr>
          <w:rFonts w:asciiTheme="minorHAnsi" w:hAnsiTheme="minorHAnsi" w:cs="Arial"/>
        </w:rPr>
        <w:t xml:space="preserve"> with a level of over-representation (-9.93%) </w:t>
      </w:r>
      <w:r>
        <w:rPr>
          <w:rFonts w:asciiTheme="minorHAnsi" w:hAnsiTheme="minorHAnsi" w:cs="Arial"/>
        </w:rPr>
        <w:t>co</w:t>
      </w:r>
      <w:r w:rsidR="00BD151C">
        <w:rPr>
          <w:rFonts w:asciiTheme="minorHAnsi" w:hAnsiTheme="minorHAnsi" w:cs="Arial"/>
        </w:rPr>
        <w:t xml:space="preserve">mpared to under-representation for the </w:t>
      </w:r>
      <w:proofErr w:type="spellStart"/>
      <w:r w:rsidR="00BD151C">
        <w:rPr>
          <w:rFonts w:asciiTheme="minorHAnsi" w:hAnsiTheme="minorHAnsi" w:cs="Arial"/>
        </w:rPr>
        <w:t>Mangawhai</w:t>
      </w:r>
      <w:proofErr w:type="spellEnd"/>
      <w:r w:rsidR="00BD151C">
        <w:rPr>
          <w:rFonts w:asciiTheme="minorHAnsi" w:hAnsiTheme="minorHAnsi" w:cs="Arial"/>
        </w:rPr>
        <w:t xml:space="preserve"> area (+9.40%). This was despite population growth in the east and the high number of non-resident ratepayers and holidaymakers</w:t>
      </w:r>
      <w:r w:rsidR="00766E12">
        <w:rPr>
          <w:rFonts w:asciiTheme="minorHAnsi" w:hAnsiTheme="minorHAnsi" w:cs="Arial"/>
        </w:rPr>
        <w:t xml:space="preserve"> who don’t get counted in a representation review</w:t>
      </w:r>
      <w:r w:rsidR="00BD151C">
        <w:rPr>
          <w:rFonts w:asciiTheme="minorHAnsi" w:hAnsiTheme="minorHAnsi" w:cs="Arial"/>
        </w:rPr>
        <w:t>.</w:t>
      </w:r>
      <w:r>
        <w:rPr>
          <w:rFonts w:asciiTheme="minorHAnsi" w:hAnsiTheme="minorHAnsi" w:cs="Arial"/>
        </w:rPr>
        <w:t xml:space="preserve"> </w:t>
      </w:r>
    </w:p>
    <w:p w14:paraId="3292DE31" w14:textId="74438524" w:rsidR="00AF63A5" w:rsidRDefault="00AF63A5"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She </w:t>
      </w:r>
      <w:r w:rsidR="00BD151C">
        <w:rPr>
          <w:rFonts w:asciiTheme="minorHAnsi" w:hAnsiTheme="minorHAnsi" w:cs="Arial"/>
        </w:rPr>
        <w:t xml:space="preserve">said she </w:t>
      </w:r>
      <w:r w:rsidR="00766E12">
        <w:rPr>
          <w:rFonts w:asciiTheme="minorHAnsi" w:hAnsiTheme="minorHAnsi" w:cs="Arial"/>
        </w:rPr>
        <w:t>believed fair and effective representation for the district would help overcome the divide between east and we</w:t>
      </w:r>
      <w:r w:rsidR="00607B54">
        <w:rPr>
          <w:rFonts w:asciiTheme="minorHAnsi" w:hAnsiTheme="minorHAnsi" w:cs="Arial"/>
        </w:rPr>
        <w:t>s</w:t>
      </w:r>
      <w:r w:rsidR="00766E12">
        <w:rPr>
          <w:rFonts w:asciiTheme="minorHAnsi" w:hAnsiTheme="minorHAnsi" w:cs="Arial"/>
        </w:rPr>
        <w:t xml:space="preserve">t. She had </w:t>
      </w:r>
      <w:r w:rsidR="00BD151C">
        <w:rPr>
          <w:rFonts w:asciiTheme="minorHAnsi" w:hAnsiTheme="minorHAnsi" w:cs="Arial"/>
        </w:rPr>
        <w:t>supported the introduction of STV in Kaipara and believed a two-ward arrangement</w:t>
      </w:r>
      <w:r w:rsidR="00766E12">
        <w:rPr>
          <w:rFonts w:asciiTheme="minorHAnsi" w:hAnsiTheme="minorHAnsi" w:cs="Arial"/>
        </w:rPr>
        <w:t xml:space="preserve"> would be a </w:t>
      </w:r>
      <w:r>
        <w:rPr>
          <w:rFonts w:asciiTheme="minorHAnsi" w:hAnsiTheme="minorHAnsi" w:cs="Arial"/>
        </w:rPr>
        <w:t>be</w:t>
      </w:r>
      <w:r w:rsidR="00766E12">
        <w:rPr>
          <w:rFonts w:asciiTheme="minorHAnsi" w:hAnsiTheme="minorHAnsi" w:cs="Arial"/>
        </w:rPr>
        <w:t>tter option</w:t>
      </w:r>
      <w:r>
        <w:rPr>
          <w:rFonts w:asciiTheme="minorHAnsi" w:hAnsiTheme="minorHAnsi" w:cs="Arial"/>
        </w:rPr>
        <w:t>.</w:t>
      </w:r>
      <w:r w:rsidR="00766E12">
        <w:rPr>
          <w:rFonts w:asciiTheme="minorHAnsi" w:hAnsiTheme="minorHAnsi" w:cs="Arial"/>
        </w:rPr>
        <w:t xml:space="preserve"> Ms </w:t>
      </w:r>
      <w:proofErr w:type="spellStart"/>
      <w:r w:rsidR="00766E12">
        <w:rPr>
          <w:rFonts w:asciiTheme="minorHAnsi" w:hAnsiTheme="minorHAnsi" w:cs="Arial"/>
        </w:rPr>
        <w:t>Curreen</w:t>
      </w:r>
      <w:proofErr w:type="spellEnd"/>
      <w:r w:rsidR="00766E12">
        <w:rPr>
          <w:rFonts w:asciiTheme="minorHAnsi" w:hAnsiTheme="minorHAnsi" w:cs="Arial"/>
        </w:rPr>
        <w:t xml:space="preserve"> said she would also</w:t>
      </w:r>
      <w:r>
        <w:rPr>
          <w:rFonts w:asciiTheme="minorHAnsi" w:hAnsiTheme="minorHAnsi" w:cs="Arial"/>
        </w:rPr>
        <w:t xml:space="preserve"> </w:t>
      </w:r>
      <w:r w:rsidR="00766E12">
        <w:rPr>
          <w:rFonts w:asciiTheme="minorHAnsi" w:hAnsiTheme="minorHAnsi" w:cs="Arial"/>
        </w:rPr>
        <w:t>support another review being carried out in three years.</w:t>
      </w:r>
    </w:p>
    <w:p w14:paraId="3292DE32" w14:textId="3D8D4E5D" w:rsidR="00AF63A5" w:rsidRPr="009A0B02" w:rsidRDefault="00766E12" w:rsidP="00AF63A5">
      <w:pPr>
        <w:keepLines w:val="0"/>
        <w:rPr>
          <w:rFonts w:asciiTheme="minorHAnsi" w:hAnsiTheme="minorHAnsi" w:cs="Arial"/>
          <w:i/>
        </w:rPr>
      </w:pPr>
      <w:r>
        <w:rPr>
          <w:rFonts w:asciiTheme="minorHAnsi" w:hAnsiTheme="minorHAnsi" w:cs="Arial"/>
          <w:i/>
        </w:rPr>
        <w:t xml:space="preserve">Clive </w:t>
      </w:r>
      <w:proofErr w:type="spellStart"/>
      <w:r>
        <w:rPr>
          <w:rFonts w:asciiTheme="minorHAnsi" w:hAnsiTheme="minorHAnsi" w:cs="Arial"/>
          <w:i/>
        </w:rPr>
        <w:t>Boonham</w:t>
      </w:r>
      <w:proofErr w:type="spellEnd"/>
    </w:p>
    <w:p w14:paraId="3292DE33" w14:textId="06E21806" w:rsidR="00AF63A5" w:rsidRDefault="00AF63A5"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M</w:t>
      </w:r>
      <w:r w:rsidR="00766E12">
        <w:rPr>
          <w:rFonts w:asciiTheme="minorHAnsi" w:hAnsiTheme="minorHAnsi" w:cs="Arial"/>
        </w:rPr>
        <w:t xml:space="preserve">r </w:t>
      </w:r>
      <w:proofErr w:type="spellStart"/>
      <w:r w:rsidR="00766E12">
        <w:rPr>
          <w:rFonts w:asciiTheme="minorHAnsi" w:hAnsiTheme="minorHAnsi" w:cs="Arial"/>
        </w:rPr>
        <w:t>Boonham</w:t>
      </w:r>
      <w:proofErr w:type="spellEnd"/>
      <w:r w:rsidR="00766E12">
        <w:rPr>
          <w:rFonts w:asciiTheme="minorHAnsi" w:hAnsiTheme="minorHAnsi" w:cs="Arial"/>
        </w:rPr>
        <w:t xml:space="preserve"> </w:t>
      </w:r>
      <w:r w:rsidR="00097988">
        <w:rPr>
          <w:rFonts w:asciiTheme="minorHAnsi" w:hAnsiTheme="minorHAnsi" w:cs="Arial"/>
        </w:rPr>
        <w:t xml:space="preserve">said he saw the council’s proposal as destroying the long-established </w:t>
      </w:r>
      <w:proofErr w:type="spellStart"/>
      <w:r w:rsidR="00097988">
        <w:rPr>
          <w:rFonts w:asciiTheme="minorHAnsi" w:hAnsiTheme="minorHAnsi" w:cs="Arial"/>
        </w:rPr>
        <w:t>Otamatea</w:t>
      </w:r>
      <w:proofErr w:type="spellEnd"/>
      <w:r w:rsidR="00097988">
        <w:rPr>
          <w:rFonts w:asciiTheme="minorHAnsi" w:hAnsiTheme="minorHAnsi" w:cs="Arial"/>
        </w:rPr>
        <w:t xml:space="preserve"> community of interest by separating of the </w:t>
      </w:r>
      <w:proofErr w:type="spellStart"/>
      <w:r w:rsidR="00097988">
        <w:rPr>
          <w:rFonts w:asciiTheme="minorHAnsi" w:hAnsiTheme="minorHAnsi" w:cs="Arial"/>
        </w:rPr>
        <w:t>Kaiwaka-Mangawhai</w:t>
      </w:r>
      <w:proofErr w:type="spellEnd"/>
      <w:r w:rsidR="00BE4777">
        <w:rPr>
          <w:rFonts w:asciiTheme="minorHAnsi" w:hAnsiTheme="minorHAnsi" w:cs="Arial"/>
        </w:rPr>
        <w:t xml:space="preserve"> area which he described as integral to the ward.</w:t>
      </w:r>
      <w:r w:rsidR="00F04928">
        <w:rPr>
          <w:rFonts w:asciiTheme="minorHAnsi" w:hAnsiTheme="minorHAnsi" w:cs="Arial"/>
        </w:rPr>
        <w:t xml:space="preserve"> He said he also didn’t see it as fair representation for </w:t>
      </w:r>
      <w:proofErr w:type="spellStart"/>
      <w:r w:rsidR="00F04928">
        <w:rPr>
          <w:rFonts w:asciiTheme="minorHAnsi" w:hAnsiTheme="minorHAnsi" w:cs="Arial"/>
        </w:rPr>
        <w:t>Dargaville</w:t>
      </w:r>
      <w:proofErr w:type="spellEnd"/>
      <w:r w:rsidR="00F04928">
        <w:rPr>
          <w:rFonts w:asciiTheme="minorHAnsi" w:hAnsiTheme="minorHAnsi" w:cs="Arial"/>
        </w:rPr>
        <w:t xml:space="preserve"> to be so close to the limit for over-representation whi</w:t>
      </w:r>
      <w:r w:rsidR="00804664">
        <w:rPr>
          <w:rFonts w:asciiTheme="minorHAnsi" w:hAnsiTheme="minorHAnsi" w:cs="Arial"/>
        </w:rPr>
        <w:t>le</w:t>
      </w:r>
      <w:r w:rsidR="00F04928">
        <w:rPr>
          <w:rFonts w:asciiTheme="minorHAnsi" w:hAnsiTheme="minorHAnsi" w:cs="Arial"/>
        </w:rPr>
        <w:t xml:space="preserve"> </w:t>
      </w:r>
      <w:proofErr w:type="spellStart"/>
      <w:r w:rsidR="00F04928">
        <w:rPr>
          <w:rFonts w:asciiTheme="minorHAnsi" w:hAnsiTheme="minorHAnsi" w:cs="Arial"/>
        </w:rPr>
        <w:t>Mangawhai</w:t>
      </w:r>
      <w:proofErr w:type="spellEnd"/>
      <w:r w:rsidR="00F04928">
        <w:rPr>
          <w:rFonts w:asciiTheme="minorHAnsi" w:hAnsiTheme="minorHAnsi" w:cs="Arial"/>
        </w:rPr>
        <w:t xml:space="preserve"> was close to the limit for under-representation.</w:t>
      </w:r>
    </w:p>
    <w:p w14:paraId="1E217904" w14:textId="7F37F7AB" w:rsidR="00F04928" w:rsidRDefault="00F04928"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Mr </w:t>
      </w:r>
      <w:proofErr w:type="spellStart"/>
      <w:r>
        <w:rPr>
          <w:rFonts w:asciiTheme="minorHAnsi" w:hAnsiTheme="minorHAnsi" w:cs="Arial"/>
        </w:rPr>
        <w:t>Boonham</w:t>
      </w:r>
      <w:proofErr w:type="spellEnd"/>
      <w:r>
        <w:rPr>
          <w:rFonts w:asciiTheme="minorHAnsi" w:hAnsiTheme="minorHAnsi" w:cs="Arial"/>
        </w:rPr>
        <w:t xml:space="preserve"> said while technically out of scope, population growth should be able to be </w:t>
      </w:r>
      <w:proofErr w:type="gramStart"/>
      <w:r>
        <w:rPr>
          <w:rFonts w:asciiTheme="minorHAnsi" w:hAnsiTheme="minorHAnsi" w:cs="Arial"/>
        </w:rPr>
        <w:t>taken into account</w:t>
      </w:r>
      <w:proofErr w:type="gramEnd"/>
      <w:r>
        <w:rPr>
          <w:rFonts w:asciiTheme="minorHAnsi" w:hAnsiTheme="minorHAnsi" w:cs="Arial"/>
        </w:rPr>
        <w:t xml:space="preserve"> in the review. He also referred to the council’s decision-making process and challenged the mayor’s</w:t>
      </w:r>
      <w:r w:rsidR="00B157E0">
        <w:rPr>
          <w:rFonts w:asciiTheme="minorHAnsi" w:hAnsiTheme="minorHAnsi" w:cs="Arial"/>
        </w:rPr>
        <w:t xml:space="preserve"> use of his casting vote to carry the decision on the final proposal. In the circumstances he said he believed the proposal was not the proposal of Kaipara District Council and should be treated as a pro forma submission.</w:t>
      </w:r>
    </w:p>
    <w:p w14:paraId="3292DE34" w14:textId="77777777" w:rsidR="00AF63A5" w:rsidRDefault="00AF63A5" w:rsidP="00AF63A5">
      <w:pPr>
        <w:keepLines w:val="0"/>
        <w:rPr>
          <w:rFonts w:asciiTheme="minorHAnsi" w:hAnsiTheme="minorHAnsi" w:cs="Arial"/>
          <w:i/>
        </w:rPr>
      </w:pPr>
      <w:r>
        <w:rPr>
          <w:rFonts w:asciiTheme="minorHAnsi" w:hAnsiTheme="minorHAnsi" w:cs="Arial"/>
          <w:i/>
        </w:rPr>
        <w:br w:type="page"/>
      </w:r>
    </w:p>
    <w:p w14:paraId="3292DE35" w14:textId="0F5DCAA1" w:rsidR="00AF63A5" w:rsidRPr="00482EDF" w:rsidRDefault="00B157E0" w:rsidP="00AF63A5">
      <w:pPr>
        <w:keepLines w:val="0"/>
        <w:rPr>
          <w:rFonts w:asciiTheme="minorHAnsi" w:hAnsiTheme="minorHAnsi" w:cs="Arial"/>
          <w:i/>
        </w:rPr>
      </w:pPr>
      <w:r>
        <w:rPr>
          <w:rFonts w:asciiTheme="minorHAnsi" w:hAnsiTheme="minorHAnsi" w:cs="Arial"/>
          <w:i/>
        </w:rPr>
        <w:t>Paul Smith</w:t>
      </w:r>
    </w:p>
    <w:p w14:paraId="5E1BFBFD" w14:textId="2D9A4D43" w:rsidR="00933B9D" w:rsidRDefault="00B157E0"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Mr Smith said he was originally from the small settlement of </w:t>
      </w:r>
      <w:proofErr w:type="spellStart"/>
      <w:r>
        <w:rPr>
          <w:rFonts w:asciiTheme="minorHAnsi" w:hAnsiTheme="minorHAnsi" w:cs="Arial"/>
        </w:rPr>
        <w:t>Pahi</w:t>
      </w:r>
      <w:proofErr w:type="spellEnd"/>
      <w:r>
        <w:rPr>
          <w:rFonts w:asciiTheme="minorHAnsi" w:hAnsiTheme="minorHAnsi" w:cs="Arial"/>
        </w:rPr>
        <w:t xml:space="preserve"> in </w:t>
      </w:r>
      <w:proofErr w:type="spellStart"/>
      <w:r>
        <w:rPr>
          <w:rFonts w:asciiTheme="minorHAnsi" w:hAnsiTheme="minorHAnsi" w:cs="Arial"/>
        </w:rPr>
        <w:t>Otamatea</w:t>
      </w:r>
      <w:proofErr w:type="spellEnd"/>
      <w:r>
        <w:rPr>
          <w:rFonts w:asciiTheme="minorHAnsi" w:hAnsiTheme="minorHAnsi" w:cs="Arial"/>
        </w:rPr>
        <w:t xml:space="preserve"> Ward though recently he had spent more time in </w:t>
      </w:r>
      <w:proofErr w:type="spellStart"/>
      <w:r>
        <w:rPr>
          <w:rFonts w:asciiTheme="minorHAnsi" w:hAnsiTheme="minorHAnsi" w:cs="Arial"/>
        </w:rPr>
        <w:t>Dargaville</w:t>
      </w:r>
      <w:proofErr w:type="spellEnd"/>
      <w:r w:rsidR="00933B9D">
        <w:rPr>
          <w:rFonts w:asciiTheme="minorHAnsi" w:hAnsiTheme="minorHAnsi" w:cs="Arial"/>
        </w:rPr>
        <w:t xml:space="preserve"> with work. He </w:t>
      </w:r>
      <w:r>
        <w:rPr>
          <w:rFonts w:asciiTheme="minorHAnsi" w:hAnsiTheme="minorHAnsi" w:cs="Arial"/>
        </w:rPr>
        <w:t>described himself as a</w:t>
      </w:r>
      <w:r w:rsidR="00933B9D">
        <w:rPr>
          <w:rFonts w:asciiTheme="minorHAnsi" w:hAnsiTheme="minorHAnsi" w:cs="Arial"/>
        </w:rPr>
        <w:t xml:space="preserve">n </w:t>
      </w:r>
      <w:proofErr w:type="spellStart"/>
      <w:r w:rsidR="00933B9D">
        <w:rPr>
          <w:rFonts w:asciiTheme="minorHAnsi" w:hAnsiTheme="minorHAnsi" w:cs="Arial"/>
        </w:rPr>
        <w:t>Otamatean</w:t>
      </w:r>
      <w:proofErr w:type="spellEnd"/>
      <w:r w:rsidR="00933B9D">
        <w:rPr>
          <w:rFonts w:asciiTheme="minorHAnsi" w:hAnsiTheme="minorHAnsi" w:cs="Arial"/>
        </w:rPr>
        <w:t xml:space="preserve"> and considered he knew the area well. He said he believed the ward did have a centre based in </w:t>
      </w:r>
      <w:proofErr w:type="spellStart"/>
      <w:r w:rsidR="00933B9D">
        <w:rPr>
          <w:rFonts w:asciiTheme="minorHAnsi" w:hAnsiTheme="minorHAnsi" w:cs="Arial"/>
        </w:rPr>
        <w:t>Maungaturoto</w:t>
      </w:r>
      <w:proofErr w:type="spellEnd"/>
      <w:r w:rsidR="00933B9D">
        <w:rPr>
          <w:rFonts w:asciiTheme="minorHAnsi" w:hAnsiTheme="minorHAnsi" w:cs="Arial"/>
        </w:rPr>
        <w:t>. He believed separating off the proposed new ward would make it a more attractive</w:t>
      </w:r>
      <w:r>
        <w:rPr>
          <w:rFonts w:asciiTheme="minorHAnsi" w:hAnsiTheme="minorHAnsi" w:cs="Arial"/>
        </w:rPr>
        <w:t xml:space="preserve"> </w:t>
      </w:r>
      <w:r w:rsidR="00933B9D">
        <w:rPr>
          <w:rFonts w:asciiTheme="minorHAnsi" w:hAnsiTheme="minorHAnsi" w:cs="Arial"/>
        </w:rPr>
        <w:t xml:space="preserve">‘apple’ for Auckland to pick off. </w:t>
      </w:r>
    </w:p>
    <w:p w14:paraId="3292DE36" w14:textId="68E2CCF8" w:rsidR="00AF63A5" w:rsidRDefault="00933B9D"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Mr Smith said he believed the proposal did not </w:t>
      </w:r>
      <w:r w:rsidR="00C5288C">
        <w:rPr>
          <w:rFonts w:asciiTheme="minorHAnsi" w:hAnsiTheme="minorHAnsi" w:cs="Arial"/>
        </w:rPr>
        <w:t xml:space="preserve">properly </w:t>
      </w:r>
      <w:r>
        <w:rPr>
          <w:rFonts w:asciiTheme="minorHAnsi" w:hAnsiTheme="minorHAnsi" w:cs="Arial"/>
        </w:rPr>
        <w:t>meet requirements for fair representation across the district and considered non-</w:t>
      </w:r>
      <w:r w:rsidR="00B157E0">
        <w:rPr>
          <w:rFonts w:asciiTheme="minorHAnsi" w:hAnsiTheme="minorHAnsi" w:cs="Arial"/>
        </w:rPr>
        <w:t xml:space="preserve">resident </w:t>
      </w:r>
      <w:r>
        <w:rPr>
          <w:rFonts w:asciiTheme="minorHAnsi" w:hAnsiTheme="minorHAnsi" w:cs="Arial"/>
        </w:rPr>
        <w:t xml:space="preserve">population should also be </w:t>
      </w:r>
      <w:proofErr w:type="gramStart"/>
      <w:r>
        <w:rPr>
          <w:rFonts w:asciiTheme="minorHAnsi" w:hAnsiTheme="minorHAnsi" w:cs="Arial"/>
        </w:rPr>
        <w:t>taken into account</w:t>
      </w:r>
      <w:proofErr w:type="gramEnd"/>
      <w:r>
        <w:rPr>
          <w:rFonts w:asciiTheme="minorHAnsi" w:hAnsiTheme="minorHAnsi" w:cs="Arial"/>
        </w:rPr>
        <w:t>.</w:t>
      </w:r>
    </w:p>
    <w:p w14:paraId="3292DE42" w14:textId="77777777" w:rsidR="00AF63A5" w:rsidRPr="002617DE" w:rsidRDefault="00AF63A5" w:rsidP="00AF63A5">
      <w:pPr>
        <w:pStyle w:val="Heading3"/>
        <w:spacing w:before="0"/>
        <w:jc w:val="both"/>
        <w:rPr>
          <w:rFonts w:asciiTheme="minorHAnsi" w:hAnsiTheme="minorHAnsi" w:cstheme="minorHAnsi"/>
          <w:szCs w:val="28"/>
        </w:rPr>
      </w:pPr>
      <w:r w:rsidRPr="002617DE">
        <w:rPr>
          <w:rFonts w:asciiTheme="minorHAnsi" w:hAnsiTheme="minorHAnsi" w:cstheme="minorHAnsi"/>
          <w:szCs w:val="28"/>
        </w:rPr>
        <w:t>Matters for determination by the Commission</w:t>
      </w:r>
    </w:p>
    <w:p w14:paraId="3292DE43" w14:textId="77777777" w:rsidR="00AF63A5" w:rsidRPr="00A93639" w:rsidRDefault="00AF63A5"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theme="minorHAnsi"/>
        </w:rPr>
        <w:t>S</w:t>
      </w:r>
      <w:r w:rsidRPr="0045280D">
        <w:rPr>
          <w:rFonts w:asciiTheme="minorHAnsi" w:hAnsiTheme="minorHAnsi" w:cstheme="minorHAnsi"/>
        </w:rPr>
        <w:t>ection 19R of the Act makes it clear that the Commission</w:t>
      </w:r>
      <w:r>
        <w:rPr>
          <w:rFonts w:asciiTheme="minorHAnsi" w:hAnsiTheme="minorHAnsi" w:cstheme="minorHAnsi"/>
        </w:rPr>
        <w:t>,</w:t>
      </w:r>
      <w:r w:rsidRPr="0045280D">
        <w:rPr>
          <w:rFonts w:asciiTheme="minorHAnsi" w:hAnsiTheme="minorHAnsi" w:cstheme="minorHAnsi"/>
        </w:rPr>
        <w:t xml:space="preserve"> </w:t>
      </w:r>
      <w:r>
        <w:rPr>
          <w:rFonts w:asciiTheme="minorHAnsi" w:hAnsiTheme="minorHAnsi" w:cstheme="minorHAnsi"/>
        </w:rPr>
        <w:t>i</w:t>
      </w:r>
      <w:r w:rsidRPr="0045280D">
        <w:rPr>
          <w:rFonts w:asciiTheme="minorHAnsi" w:hAnsiTheme="minorHAnsi" w:cstheme="minorHAnsi"/>
        </w:rPr>
        <w:t xml:space="preserve">n </w:t>
      </w:r>
      <w:r>
        <w:rPr>
          <w:rFonts w:asciiTheme="minorHAnsi" w:hAnsiTheme="minorHAnsi" w:cstheme="minorHAnsi"/>
        </w:rPr>
        <w:t xml:space="preserve">addition to consideration of </w:t>
      </w:r>
      <w:r w:rsidRPr="0045280D">
        <w:rPr>
          <w:rFonts w:asciiTheme="minorHAnsi" w:hAnsiTheme="minorHAnsi" w:cstheme="minorHAnsi"/>
        </w:rPr>
        <w:t xml:space="preserve">the appeals and objections against a council’s final representation proposal, is required to </w:t>
      </w:r>
      <w:r>
        <w:rPr>
          <w:rFonts w:asciiTheme="minorHAnsi" w:hAnsiTheme="minorHAnsi" w:cstheme="minorHAnsi"/>
        </w:rPr>
        <w:t>d</w:t>
      </w:r>
      <w:r w:rsidRPr="0045280D">
        <w:rPr>
          <w:rFonts w:asciiTheme="minorHAnsi" w:hAnsiTheme="minorHAnsi" w:cstheme="minorHAnsi"/>
        </w:rPr>
        <w:t xml:space="preserve">etermine, in the case of a territorial authority, all the matters set out in sections 19H and 19J </w:t>
      </w:r>
      <w:r>
        <w:rPr>
          <w:rFonts w:asciiTheme="minorHAnsi" w:hAnsiTheme="minorHAnsi" w:cstheme="minorHAnsi"/>
        </w:rPr>
        <w:t xml:space="preserve">which </w:t>
      </w:r>
      <w:r w:rsidRPr="0045280D">
        <w:rPr>
          <w:rFonts w:asciiTheme="minorHAnsi" w:hAnsiTheme="minorHAnsi" w:cstheme="minorHAnsi"/>
        </w:rPr>
        <w:t>relat</w:t>
      </w:r>
      <w:r>
        <w:rPr>
          <w:rFonts w:asciiTheme="minorHAnsi" w:hAnsiTheme="minorHAnsi" w:cstheme="minorHAnsi"/>
        </w:rPr>
        <w:t>e</w:t>
      </w:r>
      <w:r w:rsidRPr="0045280D">
        <w:rPr>
          <w:rFonts w:asciiTheme="minorHAnsi" w:hAnsiTheme="minorHAnsi" w:cstheme="minorHAnsi"/>
        </w:rPr>
        <w:t xml:space="preserve"> to </w:t>
      </w:r>
      <w:r>
        <w:rPr>
          <w:rFonts w:asciiTheme="minorHAnsi" w:hAnsiTheme="minorHAnsi" w:cstheme="minorHAnsi"/>
        </w:rPr>
        <w:t xml:space="preserve">the </w:t>
      </w:r>
      <w:r w:rsidRPr="0045280D">
        <w:rPr>
          <w:rFonts w:asciiTheme="minorHAnsi" w:hAnsiTheme="minorHAnsi" w:cstheme="minorHAnsi"/>
        </w:rPr>
        <w:t xml:space="preserve">representation arrangements for territorial authorities. </w:t>
      </w:r>
      <w:r>
        <w:rPr>
          <w:rFonts w:asciiTheme="minorHAnsi" w:hAnsiTheme="minorHAnsi" w:cstheme="minorHAnsi"/>
        </w:rPr>
        <w:t>This interpretation was reinforced by a 2004 High Court decision which found that the Commission’s role is not merely supervisory of a local authority’s representation arrangements decision. The Commission is required to form its own view on all the matters which are in scope of the review.</w:t>
      </w:r>
    </w:p>
    <w:p w14:paraId="3292DE44" w14:textId="77777777" w:rsidR="00AF63A5" w:rsidRPr="00E41EE9" w:rsidRDefault="00AF63A5"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theme="minorHAnsi"/>
        </w:rPr>
        <w:t>Given this requirement, any concerns expressed by appellants/objectors relating to the council’s review process are not matters that the Commission needs to address. We may, however, comment on a council’s process if we believe it would be of assistance to the council in a future review.</w:t>
      </w:r>
    </w:p>
    <w:p w14:paraId="3292DE45" w14:textId="77777777" w:rsidR="00AF63A5" w:rsidRPr="00E41EE9" w:rsidRDefault="00AF63A5" w:rsidP="00AF63A5">
      <w:pPr>
        <w:pStyle w:val="ListParagraph"/>
        <w:keepLines w:val="0"/>
        <w:numPr>
          <w:ilvl w:val="0"/>
          <w:numId w:val="25"/>
        </w:numPr>
        <w:ind w:left="567" w:hanging="567"/>
        <w:rPr>
          <w:rFonts w:asciiTheme="minorHAnsi" w:hAnsiTheme="minorHAnsi" w:cs="Arial"/>
        </w:rPr>
      </w:pPr>
      <w:r w:rsidRPr="0045280D">
        <w:rPr>
          <w:rFonts w:asciiTheme="minorHAnsi" w:hAnsiTheme="minorHAnsi" w:cstheme="minorHAnsi"/>
        </w:rPr>
        <w:t xml:space="preserve">The </w:t>
      </w:r>
      <w:r>
        <w:rPr>
          <w:rFonts w:asciiTheme="minorHAnsi" w:hAnsiTheme="minorHAnsi" w:cstheme="minorHAnsi"/>
        </w:rPr>
        <w:t>matter</w:t>
      </w:r>
      <w:r w:rsidRPr="0045280D">
        <w:rPr>
          <w:rFonts w:asciiTheme="minorHAnsi" w:hAnsiTheme="minorHAnsi" w:cstheme="minorHAnsi"/>
        </w:rPr>
        <w:t xml:space="preserve">s </w:t>
      </w:r>
      <w:r>
        <w:rPr>
          <w:rFonts w:asciiTheme="minorHAnsi" w:hAnsiTheme="minorHAnsi" w:cstheme="minorHAnsi"/>
        </w:rPr>
        <w:t>in scope of the review are</w:t>
      </w:r>
      <w:r w:rsidRPr="0045280D">
        <w:rPr>
          <w:rFonts w:asciiTheme="minorHAnsi" w:hAnsiTheme="minorHAnsi" w:cstheme="minorHAnsi"/>
        </w:rPr>
        <w:t>:</w:t>
      </w:r>
    </w:p>
    <w:p w14:paraId="3292DE46" w14:textId="77777777" w:rsidR="00AF63A5" w:rsidRPr="0045280D" w:rsidRDefault="00AF63A5" w:rsidP="00AF63A5">
      <w:pPr>
        <w:pStyle w:val="ListParagraph"/>
        <w:keepLines w:val="0"/>
        <w:numPr>
          <w:ilvl w:val="0"/>
          <w:numId w:val="26"/>
        </w:numPr>
        <w:rPr>
          <w:rFonts w:asciiTheme="minorHAnsi" w:hAnsiTheme="minorHAnsi" w:cstheme="minorHAnsi"/>
        </w:rPr>
      </w:pPr>
      <w:r w:rsidRPr="0045280D">
        <w:rPr>
          <w:rFonts w:asciiTheme="minorHAnsi" w:hAnsiTheme="minorHAnsi" w:cstheme="minorHAnsi"/>
        </w:rPr>
        <w:t xml:space="preserve">whether the council is to be elected from wards, the </w:t>
      </w:r>
      <w:proofErr w:type="gramStart"/>
      <w:r w:rsidRPr="0045280D">
        <w:rPr>
          <w:rFonts w:asciiTheme="minorHAnsi" w:hAnsiTheme="minorHAnsi" w:cstheme="minorHAnsi"/>
        </w:rPr>
        <w:t>district as a whole, or</w:t>
      </w:r>
      <w:proofErr w:type="gramEnd"/>
      <w:r w:rsidRPr="0045280D">
        <w:rPr>
          <w:rFonts w:asciiTheme="minorHAnsi" w:hAnsiTheme="minorHAnsi" w:cstheme="minorHAnsi"/>
        </w:rPr>
        <w:t xml:space="preserve"> a mix of the two</w:t>
      </w:r>
    </w:p>
    <w:p w14:paraId="3292DE47" w14:textId="77777777" w:rsidR="00AF63A5" w:rsidRPr="0045280D" w:rsidRDefault="00AF63A5" w:rsidP="00AF63A5">
      <w:pPr>
        <w:pStyle w:val="ListParagraph"/>
        <w:keepLines w:val="0"/>
        <w:numPr>
          <w:ilvl w:val="0"/>
          <w:numId w:val="26"/>
        </w:numPr>
        <w:rPr>
          <w:rFonts w:asciiTheme="minorHAnsi" w:hAnsiTheme="minorHAnsi" w:cstheme="minorHAnsi"/>
        </w:rPr>
      </w:pPr>
      <w:r w:rsidRPr="0045280D">
        <w:rPr>
          <w:rFonts w:asciiTheme="minorHAnsi" w:hAnsiTheme="minorHAnsi" w:cstheme="minorHAnsi"/>
        </w:rPr>
        <w:t>the number of councillors</w:t>
      </w:r>
    </w:p>
    <w:p w14:paraId="3292DE48" w14:textId="77777777" w:rsidR="00AF63A5" w:rsidRPr="0045280D" w:rsidRDefault="00AF63A5" w:rsidP="00AF63A5">
      <w:pPr>
        <w:pStyle w:val="ListParagraph"/>
        <w:keepLines w:val="0"/>
        <w:numPr>
          <w:ilvl w:val="0"/>
          <w:numId w:val="26"/>
        </w:numPr>
        <w:rPr>
          <w:rFonts w:asciiTheme="minorHAnsi" w:hAnsiTheme="minorHAnsi" w:cstheme="minorHAnsi"/>
        </w:rPr>
      </w:pPr>
      <w:r>
        <w:rPr>
          <w:rFonts w:asciiTheme="minorHAnsi" w:hAnsiTheme="minorHAnsi" w:cstheme="minorHAnsi"/>
        </w:rPr>
        <w:t>i</w:t>
      </w:r>
      <w:r w:rsidRPr="0045280D">
        <w:rPr>
          <w:rFonts w:asciiTheme="minorHAnsi" w:hAnsiTheme="minorHAnsi" w:cstheme="minorHAnsi"/>
        </w:rPr>
        <w:t>f there are to be wards, the area</w:t>
      </w:r>
      <w:r>
        <w:rPr>
          <w:rFonts w:asciiTheme="minorHAnsi" w:hAnsiTheme="minorHAnsi" w:cstheme="minorHAnsi"/>
        </w:rPr>
        <w:t>,</w:t>
      </w:r>
      <w:r w:rsidRPr="0045280D">
        <w:rPr>
          <w:rFonts w:asciiTheme="minorHAnsi" w:hAnsiTheme="minorHAnsi" w:cstheme="minorHAnsi"/>
        </w:rPr>
        <w:t xml:space="preserve"> boundaries </w:t>
      </w:r>
      <w:r>
        <w:rPr>
          <w:rFonts w:asciiTheme="minorHAnsi" w:hAnsiTheme="minorHAnsi" w:cstheme="minorHAnsi"/>
        </w:rPr>
        <w:t xml:space="preserve">and names </w:t>
      </w:r>
      <w:r w:rsidRPr="0045280D">
        <w:rPr>
          <w:rFonts w:asciiTheme="minorHAnsi" w:hAnsiTheme="minorHAnsi" w:cstheme="minorHAnsi"/>
        </w:rPr>
        <w:t>of wards and the number of councillors to be elected from each</w:t>
      </w:r>
      <w:r>
        <w:rPr>
          <w:rFonts w:asciiTheme="minorHAnsi" w:hAnsiTheme="minorHAnsi" w:cstheme="minorHAnsi"/>
        </w:rPr>
        <w:t xml:space="preserve"> ward</w:t>
      </w:r>
    </w:p>
    <w:p w14:paraId="3292DE49" w14:textId="77777777" w:rsidR="00AF63A5" w:rsidRPr="0045280D" w:rsidRDefault="00AF63A5" w:rsidP="00AF63A5">
      <w:pPr>
        <w:pStyle w:val="ListParagraph"/>
        <w:keepLines w:val="0"/>
        <w:numPr>
          <w:ilvl w:val="0"/>
          <w:numId w:val="26"/>
        </w:numPr>
        <w:rPr>
          <w:rFonts w:asciiTheme="minorHAnsi" w:hAnsiTheme="minorHAnsi" w:cstheme="minorHAnsi"/>
        </w:rPr>
      </w:pPr>
      <w:r w:rsidRPr="0045280D">
        <w:rPr>
          <w:rFonts w:asciiTheme="minorHAnsi" w:hAnsiTheme="minorHAnsi" w:cstheme="minorHAnsi"/>
        </w:rPr>
        <w:t>whether there are to be community boards</w:t>
      </w:r>
    </w:p>
    <w:p w14:paraId="3292DE4A" w14:textId="77777777" w:rsidR="00AF63A5" w:rsidRDefault="00AF63A5" w:rsidP="00AF63A5">
      <w:pPr>
        <w:pStyle w:val="ListParagraph"/>
        <w:keepLines w:val="0"/>
        <w:numPr>
          <w:ilvl w:val="0"/>
          <w:numId w:val="26"/>
        </w:numPr>
        <w:spacing w:after="120"/>
        <w:rPr>
          <w:rFonts w:asciiTheme="minorHAnsi" w:hAnsiTheme="minorHAnsi" w:cstheme="minorHAnsi"/>
        </w:rPr>
      </w:pPr>
      <w:r w:rsidRPr="0045280D">
        <w:rPr>
          <w:rFonts w:asciiTheme="minorHAnsi" w:hAnsiTheme="minorHAnsi" w:cstheme="minorHAnsi"/>
        </w:rPr>
        <w:t>if there are to be community boards, the area</w:t>
      </w:r>
      <w:r>
        <w:rPr>
          <w:rFonts w:asciiTheme="minorHAnsi" w:hAnsiTheme="minorHAnsi" w:cstheme="minorHAnsi"/>
        </w:rPr>
        <w:t>,</w:t>
      </w:r>
      <w:r w:rsidRPr="0045280D">
        <w:rPr>
          <w:rFonts w:asciiTheme="minorHAnsi" w:hAnsiTheme="minorHAnsi" w:cstheme="minorHAnsi"/>
        </w:rPr>
        <w:t xml:space="preserve"> boundaries </w:t>
      </w:r>
      <w:r>
        <w:rPr>
          <w:rFonts w:asciiTheme="minorHAnsi" w:hAnsiTheme="minorHAnsi" w:cstheme="minorHAnsi"/>
        </w:rPr>
        <w:t xml:space="preserve">and names </w:t>
      </w:r>
      <w:r w:rsidRPr="0045280D">
        <w:rPr>
          <w:rFonts w:asciiTheme="minorHAnsi" w:hAnsiTheme="minorHAnsi" w:cstheme="minorHAnsi"/>
        </w:rPr>
        <w:t>of their communities, and the membership arrangements for each board.</w:t>
      </w:r>
    </w:p>
    <w:p w14:paraId="3292DE4B" w14:textId="77777777" w:rsidR="00AF63A5" w:rsidRPr="00D16000" w:rsidRDefault="00AF63A5" w:rsidP="00AF63A5">
      <w:pPr>
        <w:pStyle w:val="Heading3"/>
        <w:spacing w:before="0"/>
        <w:jc w:val="both"/>
        <w:rPr>
          <w:rFonts w:asciiTheme="minorHAnsi" w:hAnsiTheme="minorHAnsi" w:cstheme="minorHAnsi"/>
          <w:i/>
          <w:iCs/>
          <w:sz w:val="24"/>
          <w:szCs w:val="24"/>
        </w:rPr>
      </w:pPr>
      <w:r w:rsidRPr="00D16000">
        <w:rPr>
          <w:rFonts w:asciiTheme="minorHAnsi" w:hAnsiTheme="minorHAnsi" w:cstheme="minorHAnsi"/>
          <w:i/>
          <w:sz w:val="24"/>
          <w:szCs w:val="24"/>
        </w:rPr>
        <w:t>Key considerations</w:t>
      </w:r>
    </w:p>
    <w:p w14:paraId="3292DE4C" w14:textId="77777777" w:rsidR="00AF63A5" w:rsidRPr="00C127E4" w:rsidRDefault="00AF63A5" w:rsidP="00AF63A5">
      <w:pPr>
        <w:pStyle w:val="ListParagraph"/>
        <w:keepLines w:val="0"/>
        <w:numPr>
          <w:ilvl w:val="0"/>
          <w:numId w:val="25"/>
        </w:numPr>
        <w:ind w:left="567" w:hanging="567"/>
        <w:rPr>
          <w:rFonts w:asciiTheme="minorHAnsi" w:hAnsiTheme="minorHAnsi" w:cs="Arial"/>
        </w:rPr>
      </w:pPr>
      <w:r w:rsidRPr="00DC7231">
        <w:rPr>
          <w:rFonts w:asciiTheme="minorHAnsi" w:hAnsiTheme="minorHAnsi" w:cstheme="minorHAnsi"/>
        </w:rPr>
        <w:t xml:space="preserve">Based on legislative requirements, the Commission’s </w:t>
      </w:r>
      <w:r w:rsidRPr="00DC7231">
        <w:rPr>
          <w:rFonts w:asciiTheme="minorHAnsi" w:hAnsiTheme="minorHAnsi" w:cstheme="minorHAnsi"/>
          <w:i/>
        </w:rPr>
        <w:t>Guidelines for local authorities undertaking representation reviews</w:t>
      </w:r>
      <w:r w:rsidRPr="00DC7231">
        <w:rPr>
          <w:rFonts w:asciiTheme="minorHAnsi" w:hAnsiTheme="minorHAnsi" w:cstheme="minorHAnsi"/>
        </w:rPr>
        <w:t xml:space="preserve"> identify the following three key factors when considering representation proposals:</w:t>
      </w:r>
    </w:p>
    <w:p w14:paraId="3292DE4D" w14:textId="77777777" w:rsidR="00AF63A5" w:rsidRPr="00DC7231" w:rsidRDefault="00AF63A5" w:rsidP="00AF63A5">
      <w:pPr>
        <w:pStyle w:val="ListParagraph"/>
        <w:keepLines w:val="0"/>
        <w:numPr>
          <w:ilvl w:val="1"/>
          <w:numId w:val="28"/>
        </w:numPr>
        <w:rPr>
          <w:rFonts w:asciiTheme="minorHAnsi" w:hAnsiTheme="minorHAnsi" w:cstheme="minorHAnsi"/>
        </w:rPr>
      </w:pPr>
      <w:r>
        <w:t>c</w:t>
      </w:r>
      <w:r w:rsidRPr="00DC7231">
        <w:t>ommunities of interest</w:t>
      </w:r>
    </w:p>
    <w:p w14:paraId="3292DE4E" w14:textId="77777777" w:rsidR="00AF63A5" w:rsidRPr="00DC7231" w:rsidRDefault="00AF63A5" w:rsidP="00AF63A5">
      <w:pPr>
        <w:pStyle w:val="ListParagraph"/>
        <w:keepLines w:val="0"/>
        <w:numPr>
          <w:ilvl w:val="1"/>
          <w:numId w:val="28"/>
        </w:numPr>
        <w:rPr>
          <w:rFonts w:asciiTheme="minorHAnsi" w:hAnsiTheme="minorHAnsi" w:cstheme="minorHAnsi"/>
        </w:rPr>
      </w:pPr>
      <w:r>
        <w:t>e</w:t>
      </w:r>
      <w:r w:rsidRPr="00DC7231">
        <w:t>ffective representation of communities of interest</w:t>
      </w:r>
    </w:p>
    <w:p w14:paraId="3292DE4F" w14:textId="77777777" w:rsidR="00AF63A5" w:rsidRPr="00C127E4" w:rsidRDefault="00AF63A5" w:rsidP="00AF63A5">
      <w:pPr>
        <w:pStyle w:val="ListParagraph"/>
        <w:keepLines w:val="0"/>
        <w:numPr>
          <w:ilvl w:val="1"/>
          <w:numId w:val="28"/>
        </w:numPr>
        <w:spacing w:after="120"/>
        <w:rPr>
          <w:rFonts w:asciiTheme="minorHAnsi" w:hAnsiTheme="minorHAnsi" w:cstheme="minorHAnsi"/>
        </w:rPr>
      </w:pPr>
      <w:r>
        <w:t>f</w:t>
      </w:r>
      <w:r w:rsidRPr="00DC7231">
        <w:t xml:space="preserve">air representation </w:t>
      </w:r>
      <w:r>
        <w:t>f</w:t>
      </w:r>
      <w:r w:rsidRPr="00DC7231">
        <w:t>o</w:t>
      </w:r>
      <w:r>
        <w:t>r</w:t>
      </w:r>
      <w:r w:rsidRPr="00DC7231">
        <w:t xml:space="preserve"> electors</w:t>
      </w:r>
      <w:r>
        <w:t>.</w:t>
      </w:r>
    </w:p>
    <w:p w14:paraId="3292DE50" w14:textId="77777777" w:rsidR="00AF63A5" w:rsidRPr="00D16000" w:rsidRDefault="00AF63A5" w:rsidP="00AF63A5">
      <w:pPr>
        <w:pStyle w:val="Heading3"/>
        <w:spacing w:before="80"/>
        <w:jc w:val="both"/>
        <w:rPr>
          <w:rFonts w:asciiTheme="minorHAnsi" w:hAnsiTheme="minorHAnsi" w:cstheme="minorHAnsi"/>
          <w:i/>
          <w:iCs/>
          <w:sz w:val="24"/>
          <w:szCs w:val="24"/>
        </w:rPr>
      </w:pPr>
      <w:r w:rsidRPr="00D16000">
        <w:rPr>
          <w:rFonts w:asciiTheme="minorHAnsi" w:hAnsiTheme="minorHAnsi" w:cstheme="minorHAnsi"/>
          <w:i/>
          <w:sz w:val="24"/>
          <w:szCs w:val="24"/>
        </w:rPr>
        <w:t>Communities of interest</w:t>
      </w:r>
    </w:p>
    <w:p w14:paraId="3292DE51" w14:textId="77777777" w:rsidR="00AF63A5" w:rsidRPr="00C127E4" w:rsidRDefault="00AF63A5" w:rsidP="00AF63A5">
      <w:pPr>
        <w:pStyle w:val="ListParagraph"/>
        <w:keepLines w:val="0"/>
        <w:numPr>
          <w:ilvl w:val="0"/>
          <w:numId w:val="25"/>
        </w:numPr>
        <w:ind w:left="567" w:hanging="567"/>
        <w:rPr>
          <w:rFonts w:asciiTheme="minorHAnsi" w:hAnsiTheme="minorHAnsi" w:cs="Arial"/>
        </w:rPr>
      </w:pPr>
      <w:r w:rsidRPr="00DC7231">
        <w:rPr>
          <w:rFonts w:asciiTheme="minorHAnsi" w:hAnsiTheme="minorHAnsi" w:cstheme="minorHAnsi"/>
        </w:rPr>
        <w:t>The Guidelines identify three dimensions for recognising communities of interes</w:t>
      </w:r>
      <w:r>
        <w:rPr>
          <w:rFonts w:asciiTheme="minorHAnsi" w:hAnsiTheme="minorHAnsi" w:cstheme="minorHAnsi"/>
        </w:rPr>
        <w:t>t:</w:t>
      </w:r>
    </w:p>
    <w:p w14:paraId="3292DE52" w14:textId="77777777" w:rsidR="00AF63A5" w:rsidRPr="00DC7231" w:rsidRDefault="00AF63A5" w:rsidP="00AF63A5">
      <w:pPr>
        <w:keepLines w:val="0"/>
        <w:numPr>
          <w:ilvl w:val="1"/>
          <w:numId w:val="29"/>
        </w:numPr>
        <w:spacing w:before="80" w:after="80"/>
        <w:rPr>
          <w:rFonts w:asciiTheme="minorHAnsi" w:hAnsiTheme="minorHAnsi" w:cstheme="minorHAnsi"/>
        </w:rPr>
      </w:pPr>
      <w:r w:rsidRPr="005556B3">
        <w:rPr>
          <w:rFonts w:asciiTheme="minorHAnsi" w:hAnsiTheme="minorHAnsi" w:cstheme="minorHAnsi"/>
          <w:i/>
        </w:rPr>
        <w:t>perceptual:</w:t>
      </w:r>
      <w:r w:rsidRPr="00DC7231">
        <w:rPr>
          <w:rFonts w:asciiTheme="minorHAnsi" w:hAnsiTheme="minorHAnsi" w:cstheme="minorHAnsi"/>
        </w:rPr>
        <w:t xml:space="preserve"> a sense of </w:t>
      </w:r>
      <w:r>
        <w:rPr>
          <w:rFonts w:asciiTheme="minorHAnsi" w:hAnsiTheme="minorHAnsi" w:cstheme="minorHAnsi"/>
        </w:rPr>
        <w:t xml:space="preserve">identity and </w:t>
      </w:r>
      <w:r w:rsidRPr="00DC7231">
        <w:rPr>
          <w:rFonts w:asciiTheme="minorHAnsi" w:hAnsiTheme="minorHAnsi" w:cstheme="minorHAnsi"/>
        </w:rPr>
        <w:t>belonging to a</w:t>
      </w:r>
      <w:r>
        <w:rPr>
          <w:rFonts w:asciiTheme="minorHAnsi" w:hAnsiTheme="minorHAnsi" w:cstheme="minorHAnsi"/>
        </w:rPr>
        <w:t xml:space="preserve"> defined</w:t>
      </w:r>
      <w:r w:rsidRPr="00DC7231">
        <w:rPr>
          <w:rFonts w:asciiTheme="minorHAnsi" w:hAnsiTheme="minorHAnsi" w:cstheme="minorHAnsi"/>
        </w:rPr>
        <w:t xml:space="preserve"> area or locality</w:t>
      </w:r>
      <w:r>
        <w:rPr>
          <w:rFonts w:asciiTheme="minorHAnsi" w:hAnsiTheme="minorHAnsi" w:cstheme="minorHAnsi"/>
        </w:rPr>
        <w:t xml:space="preserve"> </w:t>
      </w:r>
      <w:proofErr w:type="gramStart"/>
      <w:r>
        <w:rPr>
          <w:rFonts w:asciiTheme="minorHAnsi" w:hAnsiTheme="minorHAnsi" w:cstheme="minorHAnsi"/>
        </w:rPr>
        <w:t>as a result of</w:t>
      </w:r>
      <w:proofErr w:type="gramEnd"/>
      <w:r>
        <w:rPr>
          <w:rFonts w:asciiTheme="minorHAnsi" w:hAnsiTheme="minorHAnsi" w:cstheme="minorHAnsi"/>
        </w:rPr>
        <w:t xml:space="preserve"> factors such as distinctive geographical features, local history, demographics, economic and social activities</w:t>
      </w:r>
    </w:p>
    <w:p w14:paraId="3292DE53" w14:textId="77777777" w:rsidR="00AF63A5" w:rsidRPr="00DC7231" w:rsidRDefault="00AF63A5" w:rsidP="00AF63A5">
      <w:pPr>
        <w:keepLines w:val="0"/>
        <w:numPr>
          <w:ilvl w:val="1"/>
          <w:numId w:val="29"/>
        </w:numPr>
        <w:spacing w:before="80" w:after="80"/>
        <w:rPr>
          <w:rFonts w:asciiTheme="minorHAnsi" w:hAnsiTheme="minorHAnsi" w:cstheme="minorHAnsi"/>
        </w:rPr>
      </w:pPr>
      <w:r w:rsidRPr="005556B3">
        <w:rPr>
          <w:rFonts w:asciiTheme="minorHAnsi" w:hAnsiTheme="minorHAnsi" w:cstheme="minorHAnsi"/>
          <w:i/>
        </w:rPr>
        <w:t>functional:</w:t>
      </w:r>
      <w:r w:rsidRPr="00DC7231">
        <w:rPr>
          <w:rFonts w:asciiTheme="minorHAnsi" w:hAnsiTheme="minorHAnsi" w:cstheme="minorHAnsi"/>
        </w:rPr>
        <w:t xml:space="preserve"> ability </w:t>
      </w:r>
      <w:r>
        <w:rPr>
          <w:rFonts w:asciiTheme="minorHAnsi" w:hAnsiTheme="minorHAnsi" w:cstheme="minorHAnsi"/>
        </w:rPr>
        <w:t xml:space="preserve">of the area </w:t>
      </w:r>
      <w:r w:rsidRPr="00DC7231">
        <w:rPr>
          <w:rFonts w:asciiTheme="minorHAnsi" w:hAnsiTheme="minorHAnsi" w:cstheme="minorHAnsi"/>
        </w:rPr>
        <w:t xml:space="preserve">to meet the </w:t>
      </w:r>
      <w:r>
        <w:rPr>
          <w:rFonts w:asciiTheme="minorHAnsi" w:hAnsiTheme="minorHAnsi" w:cstheme="minorHAnsi"/>
        </w:rPr>
        <w:t xml:space="preserve">needs of </w:t>
      </w:r>
      <w:r w:rsidRPr="00DC7231">
        <w:rPr>
          <w:rFonts w:asciiTheme="minorHAnsi" w:hAnsiTheme="minorHAnsi" w:cstheme="minorHAnsi"/>
        </w:rPr>
        <w:t>communit</w:t>
      </w:r>
      <w:r>
        <w:rPr>
          <w:rFonts w:asciiTheme="minorHAnsi" w:hAnsiTheme="minorHAnsi" w:cstheme="minorHAnsi"/>
        </w:rPr>
        <w:t>ie</w:t>
      </w:r>
      <w:r w:rsidRPr="00DC7231">
        <w:rPr>
          <w:rFonts w:asciiTheme="minorHAnsi" w:hAnsiTheme="minorHAnsi" w:cstheme="minorHAnsi"/>
        </w:rPr>
        <w:t>s for services</w:t>
      </w:r>
      <w:r>
        <w:rPr>
          <w:rFonts w:asciiTheme="minorHAnsi" w:hAnsiTheme="minorHAnsi" w:cstheme="minorHAnsi"/>
        </w:rPr>
        <w:t xml:space="preserve"> such as local schools, shopping areas, community and recreational facilities, employment, transport and communication links</w:t>
      </w:r>
    </w:p>
    <w:p w14:paraId="3292DE54" w14:textId="77777777" w:rsidR="00AF63A5" w:rsidRPr="00DC7231" w:rsidRDefault="00AF63A5" w:rsidP="00AF63A5">
      <w:pPr>
        <w:keepLines w:val="0"/>
        <w:numPr>
          <w:ilvl w:val="1"/>
          <w:numId w:val="29"/>
        </w:numPr>
        <w:spacing w:before="80" w:after="120"/>
        <w:rPr>
          <w:rFonts w:asciiTheme="minorHAnsi" w:hAnsiTheme="minorHAnsi" w:cstheme="minorHAnsi"/>
        </w:rPr>
      </w:pPr>
      <w:r w:rsidRPr="005556B3">
        <w:rPr>
          <w:rFonts w:asciiTheme="minorHAnsi" w:hAnsiTheme="minorHAnsi" w:cstheme="minorHAnsi"/>
          <w:i/>
        </w:rPr>
        <w:t xml:space="preserve">political: </w:t>
      </w:r>
      <w:r w:rsidRPr="00DC7231">
        <w:rPr>
          <w:rFonts w:asciiTheme="minorHAnsi" w:hAnsiTheme="minorHAnsi" w:cstheme="minorHAnsi"/>
        </w:rPr>
        <w:t xml:space="preserve">ability to represent the interests </w:t>
      </w:r>
      <w:r>
        <w:rPr>
          <w:rFonts w:asciiTheme="minorHAnsi" w:hAnsiTheme="minorHAnsi" w:cstheme="minorHAnsi"/>
        </w:rPr>
        <w:t xml:space="preserve">of local communities which includes non-council structures such as for local </w:t>
      </w:r>
      <w:r w:rsidRPr="00FF1A08">
        <w:rPr>
          <w:rFonts w:asciiTheme="minorHAnsi" w:hAnsiTheme="minorHAnsi" w:cstheme="minorHAnsi"/>
        </w:rPr>
        <w:t xml:space="preserve">iwi and </w:t>
      </w:r>
      <w:proofErr w:type="spellStart"/>
      <w:r w:rsidRPr="00FF1A08">
        <w:rPr>
          <w:rFonts w:asciiTheme="minorHAnsi" w:hAnsiTheme="minorHAnsi" w:cstheme="minorHAnsi"/>
        </w:rPr>
        <w:t>hapū</w:t>
      </w:r>
      <w:proofErr w:type="spellEnd"/>
      <w:r>
        <w:rPr>
          <w:rFonts w:asciiTheme="minorHAnsi" w:hAnsiTheme="minorHAnsi" w:cstheme="minorHAnsi"/>
        </w:rPr>
        <w:t>,</w:t>
      </w:r>
      <w:r w:rsidRPr="00FF1A08">
        <w:rPr>
          <w:rFonts w:asciiTheme="minorHAnsi" w:hAnsiTheme="minorHAnsi" w:cstheme="minorHAnsi"/>
        </w:rPr>
        <w:t xml:space="preserve"> residents and ratepayer associations</w:t>
      </w:r>
      <w:r>
        <w:rPr>
          <w:rFonts w:asciiTheme="minorHAnsi" w:hAnsiTheme="minorHAnsi" w:cstheme="minorHAnsi"/>
        </w:rPr>
        <w:t xml:space="preserve"> and the range of </w:t>
      </w:r>
      <w:r w:rsidRPr="00FF1A08">
        <w:rPr>
          <w:rFonts w:asciiTheme="minorHAnsi" w:hAnsiTheme="minorHAnsi" w:cstheme="minorHAnsi"/>
        </w:rPr>
        <w:t>special interest groups</w:t>
      </w:r>
      <w:r w:rsidRPr="00DC7231">
        <w:rPr>
          <w:rFonts w:asciiTheme="minorHAnsi" w:hAnsiTheme="minorHAnsi" w:cstheme="minorHAnsi"/>
        </w:rPr>
        <w:t>.</w:t>
      </w:r>
    </w:p>
    <w:p w14:paraId="3292DE55" w14:textId="77777777" w:rsidR="00AF63A5" w:rsidRPr="00C127E4" w:rsidRDefault="00AF63A5"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theme="minorHAnsi"/>
        </w:rPr>
        <w:t xml:space="preserve">We note that in many cases </w:t>
      </w:r>
      <w:r w:rsidRPr="00FF1A08">
        <w:rPr>
          <w:rFonts w:asciiTheme="minorHAnsi" w:hAnsiTheme="minorHAnsi" w:cstheme="minorHAnsi"/>
        </w:rPr>
        <w:t xml:space="preserve">councils, communities and individuals </w:t>
      </w:r>
      <w:r>
        <w:rPr>
          <w:rFonts w:asciiTheme="minorHAnsi" w:hAnsiTheme="minorHAnsi" w:cstheme="minorHAnsi"/>
        </w:rPr>
        <w:t xml:space="preserve">tend to </w:t>
      </w:r>
      <w:r w:rsidRPr="00FF1A08">
        <w:rPr>
          <w:rFonts w:asciiTheme="minorHAnsi" w:hAnsiTheme="minorHAnsi" w:cstheme="minorHAnsi"/>
        </w:rPr>
        <w:t>focus on the perceptual dimension</w:t>
      </w:r>
      <w:r>
        <w:rPr>
          <w:rFonts w:asciiTheme="minorHAnsi" w:hAnsiTheme="minorHAnsi" w:cstheme="minorHAnsi"/>
        </w:rPr>
        <w:t xml:space="preserve"> of communities of interest. That is,</w:t>
      </w:r>
      <w:r w:rsidRPr="00FF1A08">
        <w:rPr>
          <w:rFonts w:asciiTheme="minorHAnsi" w:hAnsiTheme="minorHAnsi" w:cstheme="minorHAnsi"/>
        </w:rPr>
        <w:t xml:space="preserve"> they</w:t>
      </w:r>
      <w:r>
        <w:rPr>
          <w:rFonts w:asciiTheme="minorHAnsi" w:hAnsiTheme="minorHAnsi" w:cstheme="minorHAnsi"/>
        </w:rPr>
        <w:t xml:space="preserve"> focus on what intuitively they</w:t>
      </w:r>
      <w:r w:rsidRPr="00FF1A08">
        <w:rPr>
          <w:rFonts w:asciiTheme="minorHAnsi" w:hAnsiTheme="minorHAnsi" w:cstheme="minorHAnsi"/>
        </w:rPr>
        <w:t xml:space="preserve"> ‘feel’ are existing communities of interest</w:t>
      </w:r>
      <w:r>
        <w:rPr>
          <w:rFonts w:asciiTheme="minorHAnsi" w:hAnsiTheme="minorHAnsi" w:cstheme="minorHAnsi"/>
        </w:rPr>
        <w:t>. While this is a legitimate view</w:t>
      </w:r>
      <w:r w:rsidRPr="00FF1A08">
        <w:rPr>
          <w:rFonts w:asciiTheme="minorHAnsi" w:hAnsiTheme="minorHAnsi" w:cstheme="minorHAnsi"/>
        </w:rPr>
        <w:t xml:space="preserve">, </w:t>
      </w:r>
      <w:r>
        <w:rPr>
          <w:rFonts w:asciiTheme="minorHAnsi" w:hAnsiTheme="minorHAnsi" w:cstheme="minorHAnsi"/>
        </w:rPr>
        <w:t>more</w:t>
      </w:r>
      <w:r w:rsidRPr="00FF1A08">
        <w:rPr>
          <w:rFonts w:asciiTheme="minorHAnsi" w:hAnsiTheme="minorHAnsi" w:cstheme="minorHAnsi"/>
        </w:rPr>
        <w:t xml:space="preserve"> evidence </w:t>
      </w:r>
      <w:r>
        <w:rPr>
          <w:rFonts w:asciiTheme="minorHAnsi" w:hAnsiTheme="minorHAnsi" w:cstheme="minorHAnsi"/>
        </w:rPr>
        <w:t xml:space="preserve">may be required </w:t>
      </w:r>
      <w:r w:rsidRPr="00FF1A08">
        <w:rPr>
          <w:rFonts w:asciiTheme="minorHAnsi" w:hAnsiTheme="minorHAnsi" w:cstheme="minorHAnsi"/>
        </w:rPr>
        <w:t xml:space="preserve">to back this up. It needs to be appreciated that the other dimensions, particularly the functional one, </w:t>
      </w:r>
      <w:r>
        <w:rPr>
          <w:rFonts w:asciiTheme="minorHAnsi" w:hAnsiTheme="minorHAnsi" w:cstheme="minorHAnsi"/>
        </w:rPr>
        <w:t xml:space="preserve">are important and that they </w:t>
      </w:r>
      <w:r w:rsidRPr="00FF1A08">
        <w:rPr>
          <w:rFonts w:asciiTheme="minorHAnsi" w:hAnsiTheme="minorHAnsi" w:cstheme="minorHAnsi"/>
        </w:rPr>
        <w:t xml:space="preserve">can </w:t>
      </w:r>
      <w:r>
        <w:rPr>
          <w:rFonts w:asciiTheme="minorHAnsi" w:hAnsiTheme="minorHAnsi" w:cstheme="minorHAnsi"/>
        </w:rPr>
        <w:t xml:space="preserve">also </w:t>
      </w:r>
      <w:r w:rsidRPr="00FF1A08">
        <w:rPr>
          <w:rFonts w:asciiTheme="minorHAnsi" w:hAnsiTheme="minorHAnsi" w:cstheme="minorHAnsi"/>
        </w:rPr>
        <w:t xml:space="preserve">reinforce the ‘sense’ of identity with an area. In other words, </w:t>
      </w:r>
      <w:r>
        <w:rPr>
          <w:rFonts w:asciiTheme="minorHAnsi" w:hAnsiTheme="minorHAnsi" w:cstheme="minorHAnsi"/>
        </w:rPr>
        <w:t xml:space="preserve">all </w:t>
      </w:r>
      <w:r w:rsidRPr="00FF1A08">
        <w:rPr>
          <w:rFonts w:asciiTheme="minorHAnsi" w:hAnsiTheme="minorHAnsi" w:cstheme="minorHAnsi"/>
        </w:rPr>
        <w:t>th</w:t>
      </w:r>
      <w:r>
        <w:rPr>
          <w:rFonts w:asciiTheme="minorHAnsi" w:hAnsiTheme="minorHAnsi" w:cstheme="minorHAnsi"/>
        </w:rPr>
        <w:t>re</w:t>
      </w:r>
      <w:r w:rsidRPr="00FF1A08">
        <w:rPr>
          <w:rFonts w:asciiTheme="minorHAnsi" w:hAnsiTheme="minorHAnsi" w:cstheme="minorHAnsi"/>
        </w:rPr>
        <w:t xml:space="preserve">e dimensions </w:t>
      </w:r>
      <w:r>
        <w:rPr>
          <w:rFonts w:asciiTheme="minorHAnsi" w:hAnsiTheme="minorHAnsi" w:cstheme="minorHAnsi"/>
        </w:rPr>
        <w:t>are important but sh</w:t>
      </w:r>
      <w:r w:rsidRPr="00FF1A08">
        <w:rPr>
          <w:rFonts w:asciiTheme="minorHAnsi" w:hAnsiTheme="minorHAnsi" w:cstheme="minorHAnsi"/>
        </w:rPr>
        <w:t xml:space="preserve">ould not </w:t>
      </w:r>
      <w:proofErr w:type="gramStart"/>
      <w:r w:rsidRPr="00FF1A08">
        <w:rPr>
          <w:rFonts w:asciiTheme="minorHAnsi" w:hAnsiTheme="minorHAnsi" w:cstheme="minorHAnsi"/>
        </w:rPr>
        <w:t>be seen as</w:t>
      </w:r>
      <w:proofErr w:type="gramEnd"/>
      <w:r w:rsidRPr="00FF1A08">
        <w:rPr>
          <w:rFonts w:asciiTheme="minorHAnsi" w:hAnsiTheme="minorHAnsi" w:cstheme="minorHAnsi"/>
        </w:rPr>
        <w:t xml:space="preserve"> independent of each other</w:t>
      </w:r>
      <w:r>
        <w:rPr>
          <w:rFonts w:asciiTheme="minorHAnsi" w:hAnsiTheme="minorHAnsi" w:cstheme="minorHAnsi"/>
        </w:rPr>
        <w:t>.</w:t>
      </w:r>
    </w:p>
    <w:p w14:paraId="3292DE56" w14:textId="77777777" w:rsidR="00AF63A5" w:rsidRPr="009F0F1C" w:rsidRDefault="00AF63A5" w:rsidP="00AF63A5">
      <w:pPr>
        <w:pStyle w:val="ListParagraph"/>
        <w:keepLines w:val="0"/>
        <w:numPr>
          <w:ilvl w:val="0"/>
          <w:numId w:val="25"/>
        </w:numPr>
        <w:spacing w:after="120"/>
        <w:ind w:left="567" w:hanging="567"/>
        <w:rPr>
          <w:rFonts w:asciiTheme="minorHAnsi" w:hAnsiTheme="minorHAnsi" w:cs="Arial"/>
        </w:rPr>
      </w:pPr>
      <w:r w:rsidRPr="00FF1A08">
        <w:rPr>
          <w:rFonts w:asciiTheme="minorHAnsi" w:hAnsiTheme="minorHAnsi" w:cstheme="minorHAnsi"/>
        </w:rPr>
        <w:t xml:space="preserve">In addition to evidence </w:t>
      </w:r>
      <w:r>
        <w:rPr>
          <w:rFonts w:asciiTheme="minorHAnsi" w:hAnsiTheme="minorHAnsi" w:cstheme="minorHAnsi"/>
        </w:rPr>
        <w:t>demonstrating</w:t>
      </w:r>
      <w:r w:rsidRPr="00FF1A08">
        <w:rPr>
          <w:rFonts w:asciiTheme="minorHAnsi" w:hAnsiTheme="minorHAnsi" w:cstheme="minorHAnsi"/>
        </w:rPr>
        <w:t xml:space="preserve"> existing communities of interest, evidence </w:t>
      </w:r>
      <w:r>
        <w:rPr>
          <w:rFonts w:asciiTheme="minorHAnsi" w:hAnsiTheme="minorHAnsi" w:cstheme="minorHAnsi"/>
        </w:rPr>
        <w:t xml:space="preserve">also </w:t>
      </w:r>
      <w:r w:rsidRPr="00FF1A08">
        <w:rPr>
          <w:rFonts w:asciiTheme="minorHAnsi" w:hAnsiTheme="minorHAnsi" w:cstheme="minorHAnsi"/>
        </w:rPr>
        <w:t>need</w:t>
      </w:r>
      <w:r>
        <w:rPr>
          <w:rFonts w:asciiTheme="minorHAnsi" w:hAnsiTheme="minorHAnsi" w:cstheme="minorHAnsi"/>
        </w:rPr>
        <w:t>s</w:t>
      </w:r>
      <w:r w:rsidRPr="00FF1A08">
        <w:rPr>
          <w:rFonts w:asciiTheme="minorHAnsi" w:hAnsiTheme="minorHAnsi" w:cstheme="minorHAnsi"/>
        </w:rPr>
        <w:t xml:space="preserve"> to be provided of </w:t>
      </w:r>
      <w:r w:rsidRPr="00EF0434">
        <w:rPr>
          <w:rFonts w:asciiTheme="minorHAnsi" w:hAnsiTheme="minorHAnsi" w:cstheme="minorHAnsi"/>
          <w:i/>
        </w:rPr>
        <w:t>differences</w:t>
      </w:r>
      <w:r w:rsidRPr="00FF1A08">
        <w:rPr>
          <w:rFonts w:asciiTheme="minorHAnsi" w:hAnsiTheme="minorHAnsi" w:cstheme="minorHAnsi"/>
        </w:rPr>
        <w:t xml:space="preserve"> between neighbouring communities</w:t>
      </w:r>
      <w:r>
        <w:rPr>
          <w:rFonts w:asciiTheme="minorHAnsi" w:hAnsiTheme="minorHAnsi" w:cstheme="minorHAnsi"/>
        </w:rPr>
        <w:t xml:space="preserve"> i.e. that they may have “few commonalities”</w:t>
      </w:r>
      <w:r w:rsidRPr="00FF1A08">
        <w:rPr>
          <w:rFonts w:asciiTheme="minorHAnsi" w:hAnsiTheme="minorHAnsi" w:cstheme="minorHAnsi"/>
        </w:rPr>
        <w:t xml:space="preserve">. This could include </w:t>
      </w:r>
      <w:r>
        <w:rPr>
          <w:rFonts w:asciiTheme="minorHAnsi" w:hAnsiTheme="minorHAnsi" w:cstheme="minorHAnsi"/>
        </w:rPr>
        <w:t xml:space="preserve">the </w:t>
      </w:r>
      <w:r w:rsidRPr="00FF1A08">
        <w:rPr>
          <w:rFonts w:asciiTheme="minorHAnsi" w:hAnsiTheme="minorHAnsi" w:cstheme="minorHAnsi"/>
        </w:rPr>
        <w:t>demographic characteristics of an area (e.g. age, ethnicity, deprivation profiles) and</w:t>
      </w:r>
      <w:r>
        <w:rPr>
          <w:rFonts w:asciiTheme="minorHAnsi" w:hAnsiTheme="minorHAnsi" w:cstheme="minorHAnsi"/>
        </w:rPr>
        <w:t xml:space="preserve"> how these differ between areas, and evidence of how different communities rely on different services and facilities.</w:t>
      </w:r>
    </w:p>
    <w:p w14:paraId="3292DE57" w14:textId="2C099A61" w:rsidR="00AF63A5" w:rsidRPr="009F0F1C" w:rsidRDefault="00C5288C" w:rsidP="00AF63A5">
      <w:pPr>
        <w:pStyle w:val="ListParagraph"/>
        <w:keepLines w:val="0"/>
        <w:numPr>
          <w:ilvl w:val="0"/>
          <w:numId w:val="25"/>
        </w:numPr>
        <w:spacing w:before="0" w:after="120"/>
        <w:ind w:left="567" w:hanging="567"/>
        <w:jc w:val="both"/>
        <w:rPr>
          <w:rFonts w:asciiTheme="minorHAnsi" w:hAnsiTheme="minorHAnsi" w:cstheme="minorHAnsi"/>
        </w:rPr>
      </w:pPr>
      <w:r>
        <w:rPr>
          <w:rFonts w:asciiTheme="minorHAnsi" w:hAnsiTheme="minorHAnsi" w:cstheme="minorHAnsi"/>
        </w:rPr>
        <w:t xml:space="preserve">In the case of Kaipara District, the district covers an area stretching from the west coast to the east coast of Northland Region and includes the northern part of the Kaipara harbour. As part of the current representation review, the council recorded the district as comprising four defined communities of interest: the urban township of </w:t>
      </w:r>
      <w:proofErr w:type="spellStart"/>
      <w:r>
        <w:rPr>
          <w:rFonts w:asciiTheme="minorHAnsi" w:hAnsiTheme="minorHAnsi" w:cstheme="minorHAnsi"/>
        </w:rPr>
        <w:t>Dargaville</w:t>
      </w:r>
      <w:proofErr w:type="spellEnd"/>
      <w:r>
        <w:rPr>
          <w:rFonts w:asciiTheme="minorHAnsi" w:hAnsiTheme="minorHAnsi" w:cstheme="minorHAnsi"/>
        </w:rPr>
        <w:t xml:space="preserve">; the rural western central/coastal area; the rural central inner harbour area; and the rural/urban eastern coastal area (including </w:t>
      </w:r>
      <w:proofErr w:type="spellStart"/>
      <w:r>
        <w:rPr>
          <w:rFonts w:asciiTheme="minorHAnsi" w:hAnsiTheme="minorHAnsi" w:cstheme="minorHAnsi"/>
        </w:rPr>
        <w:t>Mangawhai</w:t>
      </w:r>
      <w:proofErr w:type="spellEnd"/>
      <w:r>
        <w:rPr>
          <w:rFonts w:asciiTheme="minorHAnsi" w:hAnsiTheme="minorHAnsi" w:cstheme="minorHAnsi"/>
        </w:rPr>
        <w:t xml:space="preserve"> described on the council’s website as becoming increasingly popular as a lifestyle and holiday destination).</w:t>
      </w:r>
    </w:p>
    <w:p w14:paraId="3292DE58" w14:textId="77777777" w:rsidR="00AF63A5" w:rsidRPr="00D16000" w:rsidRDefault="00AF63A5" w:rsidP="00AF63A5">
      <w:pPr>
        <w:pStyle w:val="Heading3"/>
        <w:spacing w:before="0"/>
        <w:jc w:val="both"/>
        <w:rPr>
          <w:rFonts w:asciiTheme="minorHAnsi" w:hAnsiTheme="minorHAnsi" w:cstheme="minorHAnsi"/>
          <w:i/>
          <w:iCs/>
          <w:sz w:val="24"/>
          <w:szCs w:val="24"/>
        </w:rPr>
      </w:pPr>
      <w:r w:rsidRPr="00D16000">
        <w:rPr>
          <w:rFonts w:asciiTheme="minorHAnsi" w:hAnsiTheme="minorHAnsi" w:cstheme="minorHAnsi"/>
          <w:i/>
          <w:sz w:val="24"/>
          <w:szCs w:val="24"/>
        </w:rPr>
        <w:t>Effective representation of communities of interest</w:t>
      </w:r>
    </w:p>
    <w:p w14:paraId="3292DE59" w14:textId="77777777" w:rsidR="00AF63A5" w:rsidRPr="008F71CD" w:rsidRDefault="00AF63A5" w:rsidP="00AF63A5">
      <w:pPr>
        <w:pStyle w:val="ListParagraph"/>
        <w:keepLines w:val="0"/>
        <w:numPr>
          <w:ilvl w:val="0"/>
          <w:numId w:val="25"/>
        </w:numPr>
        <w:ind w:left="567" w:hanging="567"/>
        <w:rPr>
          <w:rFonts w:asciiTheme="minorHAnsi" w:hAnsiTheme="minorHAnsi" w:cs="Arial"/>
        </w:rPr>
      </w:pPr>
      <w:r w:rsidRPr="001F0FB0">
        <w:rPr>
          <w:rFonts w:asciiTheme="minorHAnsi" w:hAnsiTheme="minorHAnsi" w:cstheme="minorHAnsi"/>
        </w:rPr>
        <w:t>Section 19T of the Act requires the Commission to ensure that:</w:t>
      </w:r>
    </w:p>
    <w:p w14:paraId="3292DE5A" w14:textId="77777777" w:rsidR="00AF63A5" w:rsidRPr="001F0FB0" w:rsidRDefault="00AF63A5" w:rsidP="00AF63A5">
      <w:pPr>
        <w:pStyle w:val="Paragraph"/>
        <w:numPr>
          <w:ilvl w:val="0"/>
          <w:numId w:val="27"/>
        </w:numPr>
        <w:spacing w:before="80" w:after="80"/>
        <w:jc w:val="left"/>
        <w:rPr>
          <w:rFonts w:asciiTheme="minorHAnsi" w:hAnsiTheme="minorHAnsi" w:cstheme="minorHAnsi"/>
          <w:szCs w:val="24"/>
        </w:rPr>
      </w:pPr>
      <w:r w:rsidRPr="001F0FB0">
        <w:rPr>
          <w:rFonts w:asciiTheme="minorHAnsi" w:hAnsiTheme="minorHAnsi" w:cstheme="minorHAnsi"/>
          <w:szCs w:val="24"/>
        </w:rPr>
        <w:t xml:space="preserve">the election of members of the council, in one of the ways specified in section 19H (i.e. at large, wards, or a </w:t>
      </w:r>
      <w:r>
        <w:rPr>
          <w:rFonts w:asciiTheme="minorHAnsi" w:hAnsiTheme="minorHAnsi" w:cstheme="minorHAnsi"/>
          <w:szCs w:val="24"/>
        </w:rPr>
        <w:t>mix</w:t>
      </w:r>
      <w:r w:rsidRPr="001F0FB0">
        <w:rPr>
          <w:rFonts w:asciiTheme="minorHAnsi" w:hAnsiTheme="minorHAnsi" w:cstheme="minorHAnsi"/>
          <w:szCs w:val="24"/>
        </w:rPr>
        <w:t xml:space="preserve"> of both) will provide effective representation of communities of interest within the </w:t>
      </w:r>
      <w:r>
        <w:rPr>
          <w:rFonts w:asciiTheme="minorHAnsi" w:hAnsiTheme="minorHAnsi" w:cstheme="minorHAnsi"/>
          <w:szCs w:val="24"/>
        </w:rPr>
        <w:t>c</w:t>
      </w:r>
      <w:r w:rsidRPr="001F0FB0">
        <w:rPr>
          <w:rFonts w:asciiTheme="minorHAnsi" w:hAnsiTheme="minorHAnsi" w:cstheme="minorHAnsi"/>
          <w:szCs w:val="24"/>
        </w:rPr>
        <w:t>it</w:t>
      </w:r>
      <w:r>
        <w:rPr>
          <w:rFonts w:asciiTheme="minorHAnsi" w:hAnsiTheme="minorHAnsi" w:cstheme="minorHAnsi"/>
          <w:szCs w:val="24"/>
        </w:rPr>
        <w:t>y</w:t>
      </w:r>
    </w:p>
    <w:p w14:paraId="3292DE5B" w14:textId="77777777" w:rsidR="00AF63A5" w:rsidRPr="001F0FB0" w:rsidRDefault="00AF63A5" w:rsidP="00AF63A5">
      <w:pPr>
        <w:pStyle w:val="Paragraph"/>
        <w:numPr>
          <w:ilvl w:val="0"/>
          <w:numId w:val="27"/>
        </w:numPr>
        <w:spacing w:before="80" w:after="80"/>
        <w:jc w:val="left"/>
        <w:rPr>
          <w:rFonts w:asciiTheme="minorHAnsi" w:hAnsiTheme="minorHAnsi" w:cstheme="minorHAnsi"/>
          <w:szCs w:val="24"/>
        </w:rPr>
      </w:pPr>
      <w:r w:rsidRPr="001F0FB0">
        <w:rPr>
          <w:rFonts w:asciiTheme="minorHAnsi" w:hAnsiTheme="minorHAnsi" w:cstheme="minorHAnsi"/>
          <w:szCs w:val="24"/>
        </w:rPr>
        <w:t xml:space="preserve">ward boundaries coincide with the boundaries of the current statistical </w:t>
      </w:r>
      <w:proofErr w:type="spellStart"/>
      <w:r w:rsidRPr="001F0FB0">
        <w:rPr>
          <w:rFonts w:asciiTheme="minorHAnsi" w:hAnsiTheme="minorHAnsi" w:cstheme="minorHAnsi"/>
          <w:szCs w:val="24"/>
        </w:rPr>
        <w:t>meshblock</w:t>
      </w:r>
      <w:proofErr w:type="spellEnd"/>
      <w:r w:rsidRPr="001F0FB0">
        <w:rPr>
          <w:rFonts w:asciiTheme="minorHAnsi" w:hAnsiTheme="minorHAnsi" w:cstheme="minorHAnsi"/>
          <w:szCs w:val="24"/>
        </w:rPr>
        <w:t xml:space="preserve"> areas determined by Statistics New Zealand and used for parliamentary electoral purposes</w:t>
      </w:r>
    </w:p>
    <w:p w14:paraId="3292DE5C" w14:textId="77777777" w:rsidR="00AF63A5" w:rsidRPr="001F0FB0" w:rsidRDefault="00AF63A5" w:rsidP="00AF63A5">
      <w:pPr>
        <w:pStyle w:val="Paragraph"/>
        <w:numPr>
          <w:ilvl w:val="0"/>
          <w:numId w:val="27"/>
        </w:numPr>
        <w:spacing w:before="80"/>
        <w:jc w:val="left"/>
        <w:rPr>
          <w:rFonts w:asciiTheme="minorHAnsi" w:hAnsiTheme="minorHAnsi" w:cstheme="minorHAnsi"/>
          <w:szCs w:val="24"/>
        </w:rPr>
      </w:pPr>
      <w:r w:rsidRPr="001F0FB0">
        <w:rPr>
          <w:rFonts w:asciiTheme="minorHAnsi" w:hAnsiTheme="minorHAnsi" w:cstheme="minorHAnsi"/>
          <w:szCs w:val="24"/>
        </w:rPr>
        <w:t>so far as is practicable, ward boundaries coincide with community boundaries (where they exist).</w:t>
      </w:r>
    </w:p>
    <w:p w14:paraId="3292DE5D" w14:textId="77777777" w:rsidR="00AF63A5" w:rsidRPr="00BA6AEA" w:rsidRDefault="00AF63A5" w:rsidP="00AF63A5">
      <w:pPr>
        <w:pStyle w:val="ListParagraph"/>
        <w:keepLines w:val="0"/>
        <w:numPr>
          <w:ilvl w:val="0"/>
          <w:numId w:val="25"/>
        </w:numPr>
        <w:spacing w:after="120"/>
        <w:ind w:left="567" w:hanging="567"/>
        <w:rPr>
          <w:rFonts w:asciiTheme="minorHAnsi" w:hAnsiTheme="minorHAnsi" w:cs="Arial"/>
        </w:rPr>
      </w:pPr>
      <w:r w:rsidRPr="001F0FB0">
        <w:rPr>
          <w:rFonts w:asciiTheme="minorHAnsi" w:hAnsiTheme="minorHAnsi" w:cstheme="minorHAnsi"/>
        </w:rPr>
        <w:t xml:space="preserve">‘Effective representation’ is not defined in the Act, but the Commission sees this as requiring consideration of factors including the appropriate </w:t>
      </w:r>
      <w:r>
        <w:rPr>
          <w:rFonts w:asciiTheme="minorHAnsi" w:hAnsiTheme="minorHAnsi" w:cstheme="minorHAnsi"/>
        </w:rPr>
        <w:t xml:space="preserve">total </w:t>
      </w:r>
      <w:r w:rsidRPr="001F0FB0">
        <w:rPr>
          <w:rFonts w:asciiTheme="minorHAnsi" w:hAnsiTheme="minorHAnsi" w:cstheme="minorHAnsi"/>
        </w:rPr>
        <w:t xml:space="preserve">number of elected members and the appropriate basis of election of members for </w:t>
      </w:r>
      <w:r>
        <w:rPr>
          <w:rFonts w:asciiTheme="minorHAnsi" w:hAnsiTheme="minorHAnsi" w:cstheme="minorHAnsi"/>
        </w:rPr>
        <w:t>the</w:t>
      </w:r>
      <w:r w:rsidRPr="001F0FB0">
        <w:rPr>
          <w:rFonts w:asciiTheme="minorHAnsi" w:hAnsiTheme="minorHAnsi" w:cstheme="minorHAnsi"/>
        </w:rPr>
        <w:t xml:space="preserve"> district</w:t>
      </w:r>
      <w:r>
        <w:rPr>
          <w:rFonts w:asciiTheme="minorHAnsi" w:hAnsiTheme="minorHAnsi" w:cstheme="minorHAnsi"/>
        </w:rPr>
        <w:t xml:space="preserve"> concerned </w:t>
      </w:r>
      <w:r w:rsidRPr="001F0FB0">
        <w:rPr>
          <w:rFonts w:asciiTheme="minorHAnsi" w:hAnsiTheme="minorHAnsi" w:cstheme="minorHAnsi"/>
        </w:rPr>
        <w:t xml:space="preserve">(at large, wards, or a </w:t>
      </w:r>
      <w:r>
        <w:rPr>
          <w:rFonts w:asciiTheme="minorHAnsi" w:hAnsiTheme="minorHAnsi" w:cstheme="minorHAnsi"/>
        </w:rPr>
        <w:t>mix</w:t>
      </w:r>
      <w:r w:rsidRPr="001F0FB0">
        <w:rPr>
          <w:rFonts w:asciiTheme="minorHAnsi" w:hAnsiTheme="minorHAnsi" w:cstheme="minorHAnsi"/>
        </w:rPr>
        <w:t xml:space="preserve"> of both</w:t>
      </w:r>
      <w:r>
        <w:rPr>
          <w:rFonts w:asciiTheme="minorHAnsi" w:hAnsiTheme="minorHAnsi" w:cstheme="minorHAnsi"/>
        </w:rPr>
        <w:t>).</w:t>
      </w:r>
    </w:p>
    <w:p w14:paraId="3292DE5E" w14:textId="1810D461" w:rsidR="00AF63A5" w:rsidRDefault="008F03AD"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T</w:t>
      </w:r>
      <w:r w:rsidR="00AF63A5">
        <w:rPr>
          <w:rFonts w:asciiTheme="minorHAnsi" w:hAnsiTheme="minorHAnsi" w:cs="Arial"/>
        </w:rPr>
        <w:t>he council comprised 1</w:t>
      </w:r>
      <w:r w:rsidR="00534285">
        <w:rPr>
          <w:rFonts w:asciiTheme="minorHAnsi" w:hAnsiTheme="minorHAnsi" w:cs="Arial"/>
        </w:rPr>
        <w:t>0</w:t>
      </w:r>
      <w:r w:rsidR="00AF63A5">
        <w:rPr>
          <w:rFonts w:asciiTheme="minorHAnsi" w:hAnsiTheme="minorHAnsi" w:cs="Arial"/>
        </w:rPr>
        <w:t xml:space="preserve"> councillors from its constitution in 1989 until the 20</w:t>
      </w:r>
      <w:r w:rsidR="00534285">
        <w:rPr>
          <w:rFonts w:asciiTheme="minorHAnsi" w:hAnsiTheme="minorHAnsi" w:cs="Arial"/>
        </w:rPr>
        <w:t>07</w:t>
      </w:r>
      <w:r w:rsidR="00AF63A5">
        <w:rPr>
          <w:rFonts w:asciiTheme="minorHAnsi" w:hAnsiTheme="minorHAnsi" w:cs="Arial"/>
        </w:rPr>
        <w:t xml:space="preserve"> elections when this number was reduced to </w:t>
      </w:r>
      <w:r>
        <w:rPr>
          <w:rFonts w:asciiTheme="minorHAnsi" w:hAnsiTheme="minorHAnsi" w:cs="Arial"/>
        </w:rPr>
        <w:t>the current eight councillors</w:t>
      </w:r>
      <w:r w:rsidR="00AF63A5">
        <w:rPr>
          <w:rFonts w:asciiTheme="minorHAnsi" w:hAnsiTheme="minorHAnsi" w:cs="Arial"/>
        </w:rPr>
        <w:t xml:space="preserve">. </w:t>
      </w:r>
      <w:r>
        <w:rPr>
          <w:rFonts w:asciiTheme="minorHAnsi" w:hAnsiTheme="minorHAnsi" w:cs="Arial"/>
        </w:rPr>
        <w:t xml:space="preserve">We note there was majority support for this number of councillors in the council’s preliminary consultation </w:t>
      </w:r>
      <w:proofErr w:type="gramStart"/>
      <w:r>
        <w:rPr>
          <w:rFonts w:asciiTheme="minorHAnsi" w:hAnsiTheme="minorHAnsi" w:cs="Arial"/>
        </w:rPr>
        <w:t>and also</w:t>
      </w:r>
      <w:proofErr w:type="gramEnd"/>
      <w:r>
        <w:rPr>
          <w:rFonts w:asciiTheme="minorHAnsi" w:hAnsiTheme="minorHAnsi" w:cs="Arial"/>
        </w:rPr>
        <w:t xml:space="preserve"> that when the council initially proposed an increase in the previous review there was strong community opposition to this</w:t>
      </w:r>
      <w:r w:rsidR="00AF63A5">
        <w:rPr>
          <w:rFonts w:asciiTheme="minorHAnsi" w:hAnsiTheme="minorHAnsi" w:cs="Arial"/>
        </w:rPr>
        <w:t>.</w:t>
      </w:r>
    </w:p>
    <w:p w14:paraId="3292DE62" w14:textId="77777777" w:rsidR="00AF63A5" w:rsidRPr="008F71CD" w:rsidRDefault="00AF63A5" w:rsidP="00AF63A5">
      <w:pPr>
        <w:pStyle w:val="ListParagraph"/>
        <w:keepLines w:val="0"/>
        <w:numPr>
          <w:ilvl w:val="0"/>
          <w:numId w:val="25"/>
        </w:numPr>
        <w:ind w:left="567" w:hanging="567"/>
        <w:rPr>
          <w:rFonts w:asciiTheme="minorHAnsi" w:hAnsiTheme="minorHAnsi" w:cs="Arial"/>
        </w:rPr>
      </w:pPr>
      <w:r>
        <w:t>The Commission’s Guidelines note the following factors need to be considered when determining effective representation:</w:t>
      </w:r>
    </w:p>
    <w:p w14:paraId="3292DE63" w14:textId="77777777" w:rsidR="00AF63A5" w:rsidRPr="00741D82" w:rsidRDefault="00AF63A5" w:rsidP="00AF63A5">
      <w:pPr>
        <w:pStyle w:val="ListParagraph"/>
        <w:keepLines w:val="0"/>
        <w:numPr>
          <w:ilvl w:val="1"/>
          <w:numId w:val="30"/>
        </w:numPr>
        <w:rPr>
          <w:rFonts w:asciiTheme="minorHAnsi" w:hAnsiTheme="minorHAnsi" w:cstheme="minorHAnsi"/>
        </w:rPr>
      </w:pPr>
      <w:r>
        <w:t>avoiding arrangements that may create barriers to participation, such as at elections by not recognising residents’ familiarity and identity with an area</w:t>
      </w:r>
    </w:p>
    <w:p w14:paraId="3292DE64" w14:textId="77777777" w:rsidR="00AF63A5" w:rsidRPr="00741D82" w:rsidRDefault="00AF63A5" w:rsidP="00AF63A5">
      <w:pPr>
        <w:pStyle w:val="ListParagraph"/>
        <w:keepLines w:val="0"/>
        <w:numPr>
          <w:ilvl w:val="1"/>
          <w:numId w:val="30"/>
        </w:numPr>
        <w:rPr>
          <w:rFonts w:asciiTheme="minorHAnsi" w:hAnsiTheme="minorHAnsi" w:cstheme="minorHAnsi"/>
        </w:rPr>
      </w:pPr>
      <w:r>
        <w:t>not splitting recognised communities of interest between electoral subdivisions</w:t>
      </w:r>
    </w:p>
    <w:p w14:paraId="3292DE65" w14:textId="77777777" w:rsidR="00AF63A5" w:rsidRPr="00741D82" w:rsidRDefault="00AF63A5" w:rsidP="00AF63A5">
      <w:pPr>
        <w:pStyle w:val="ListParagraph"/>
        <w:keepLines w:val="0"/>
        <w:numPr>
          <w:ilvl w:val="1"/>
          <w:numId w:val="30"/>
        </w:numPr>
        <w:rPr>
          <w:rFonts w:asciiTheme="minorHAnsi" w:hAnsiTheme="minorHAnsi" w:cstheme="minorHAnsi"/>
        </w:rPr>
      </w:pPr>
      <w:r>
        <w:t>not grouping together two or more communities of interest that share few commonalities of interest</w:t>
      </w:r>
    </w:p>
    <w:p w14:paraId="5F13795A" w14:textId="7F77EE35" w:rsidR="008F03AD" w:rsidRPr="008F03AD" w:rsidRDefault="00AF63A5" w:rsidP="008F03AD">
      <w:pPr>
        <w:pStyle w:val="ListParagraph"/>
        <w:keepLines w:val="0"/>
        <w:numPr>
          <w:ilvl w:val="1"/>
          <w:numId w:val="30"/>
        </w:numPr>
        <w:spacing w:after="120"/>
        <w:rPr>
          <w:rFonts w:asciiTheme="minorHAnsi" w:hAnsiTheme="minorHAnsi" w:cstheme="minorHAnsi"/>
        </w:rPr>
      </w:pPr>
      <w:r>
        <w:t>accessibility, size and configuration of an area including access to elected members and vice versa.</w:t>
      </w:r>
    </w:p>
    <w:p w14:paraId="72CFAF41" w14:textId="1C7AC5E2" w:rsidR="008F03AD" w:rsidRPr="008F03AD" w:rsidRDefault="008F03AD" w:rsidP="00AF63A5">
      <w:pPr>
        <w:pStyle w:val="ListParagraph"/>
        <w:keepLines w:val="0"/>
        <w:numPr>
          <w:ilvl w:val="0"/>
          <w:numId w:val="25"/>
        </w:numPr>
        <w:spacing w:after="120"/>
        <w:ind w:left="567" w:hanging="567"/>
        <w:rPr>
          <w:rFonts w:asciiTheme="minorHAnsi" w:hAnsiTheme="minorHAnsi" w:cs="Arial"/>
        </w:rPr>
      </w:pPr>
      <w:r>
        <w:t>Four wards were established when the district was constituted in 1989 and remained until the 2007 elections when the number of wards was reduced to the current three. As part of the 2013 review, the council did consider options for re-establishing a fourth ward in the south-eastern area of the district</w:t>
      </w:r>
      <w:r w:rsidR="00350FF4">
        <w:t>,</w:t>
      </w:r>
      <w:r>
        <w:t xml:space="preserve"> but these failed to attract strong council and community support</w:t>
      </w:r>
      <w:r w:rsidR="00345E21">
        <w:t xml:space="preserve"> at that time</w:t>
      </w:r>
      <w:r>
        <w:t>.</w:t>
      </w:r>
    </w:p>
    <w:p w14:paraId="3292DE67" w14:textId="7D3529C9" w:rsidR="00AF63A5" w:rsidRPr="008F03AD" w:rsidRDefault="008F03AD" w:rsidP="00AF63A5">
      <w:pPr>
        <w:pStyle w:val="ListParagraph"/>
        <w:keepLines w:val="0"/>
        <w:numPr>
          <w:ilvl w:val="0"/>
          <w:numId w:val="25"/>
        </w:numPr>
        <w:spacing w:after="120"/>
        <w:ind w:left="567" w:hanging="567"/>
        <w:rPr>
          <w:rFonts w:asciiTheme="minorHAnsi" w:hAnsiTheme="minorHAnsi" w:cs="Arial"/>
        </w:rPr>
      </w:pPr>
      <w:r>
        <w:t xml:space="preserve">There appears to be continuing clear majority support for a ward system of representation in Kaipara District. Some debate does continue, however, over the most appropriate number of wards. In addition to the council’s proposal to increase the number of wards from three to four, there was consideration of a two-ward structure by combining the West Coast-Central and </w:t>
      </w:r>
      <w:proofErr w:type="spellStart"/>
      <w:r>
        <w:t>Dargaville</w:t>
      </w:r>
      <w:proofErr w:type="spellEnd"/>
      <w:r>
        <w:t xml:space="preserve"> wards and retaining the current </w:t>
      </w:r>
      <w:proofErr w:type="spellStart"/>
      <w:r>
        <w:t>Otamatea</w:t>
      </w:r>
      <w:proofErr w:type="spellEnd"/>
      <w:r>
        <w:t xml:space="preserve"> Ward (to include the proposed </w:t>
      </w:r>
      <w:proofErr w:type="spellStart"/>
      <w:r>
        <w:t>Kaiwaka-Mangawhai</w:t>
      </w:r>
      <w:proofErr w:type="spellEnd"/>
      <w:r>
        <w:t xml:space="preserve"> Ward). </w:t>
      </w:r>
    </w:p>
    <w:p w14:paraId="7B90FF0C" w14:textId="2486D4A6" w:rsidR="008F03AD" w:rsidRPr="00926E36" w:rsidRDefault="00A621C2" w:rsidP="00AF63A5">
      <w:pPr>
        <w:pStyle w:val="ListParagraph"/>
        <w:keepLines w:val="0"/>
        <w:numPr>
          <w:ilvl w:val="0"/>
          <w:numId w:val="25"/>
        </w:numPr>
        <w:spacing w:after="120"/>
        <w:ind w:left="567" w:hanging="567"/>
        <w:rPr>
          <w:rFonts w:asciiTheme="minorHAnsi" w:hAnsiTheme="minorHAnsi" w:cs="Arial"/>
        </w:rPr>
      </w:pPr>
      <w:r>
        <w:t>In the hearing b</w:t>
      </w:r>
      <w:r w:rsidR="008F03AD">
        <w:t>oth the mayor</w:t>
      </w:r>
      <w:r>
        <w:t xml:space="preserve"> and the appellants described in some detail the nature of the communities of interest in the eastern and central areas of the </w:t>
      </w:r>
      <w:proofErr w:type="gramStart"/>
      <w:r>
        <w:t>district</w:t>
      </w:r>
      <w:r w:rsidR="00926E36">
        <w:t xml:space="preserve"> in particular</w:t>
      </w:r>
      <w:proofErr w:type="gramEnd"/>
      <w:r>
        <w:t>. This included local schools, employment, shopping and other services,</w:t>
      </w:r>
      <w:r w:rsidR="00926E36">
        <w:t xml:space="preserve"> along with</w:t>
      </w:r>
      <w:r>
        <w:t xml:space="preserve"> </w:t>
      </w:r>
      <w:r w:rsidR="00926E36">
        <w:t xml:space="preserve">factors such as </w:t>
      </w:r>
      <w:r>
        <w:t>telephone listings, mobile phone coverage</w:t>
      </w:r>
      <w:r w:rsidR="00926E36">
        <w:t xml:space="preserve"> and connections to Auckland generally. The eastern area has also seen significant </w:t>
      </w:r>
      <w:r>
        <w:t>population growth</w:t>
      </w:r>
      <w:r w:rsidR="00926E36">
        <w:t xml:space="preserve"> as well as growth in both second/holiday homes and in numbers of tourists. On the other hand, we also heard that, contrary to some people’s understanding, there is a level of growth in </w:t>
      </w:r>
      <w:proofErr w:type="spellStart"/>
      <w:r w:rsidR="00926E36">
        <w:t>Dargaville</w:t>
      </w:r>
      <w:proofErr w:type="spellEnd"/>
      <w:r w:rsidR="00C53661">
        <w:t xml:space="preserve"> which the council needed to address.</w:t>
      </w:r>
    </w:p>
    <w:p w14:paraId="720362A4" w14:textId="1A084B12" w:rsidR="00926E36" w:rsidRDefault="00926E36"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Arial"/>
        </w:rPr>
        <w:t xml:space="preserve">This presents quite a complicated picture when it comes to identifying </w:t>
      </w:r>
      <w:r w:rsidR="00350FF4">
        <w:rPr>
          <w:rFonts w:asciiTheme="minorHAnsi" w:hAnsiTheme="minorHAnsi" w:cs="Arial"/>
        </w:rPr>
        <w:t xml:space="preserve">current </w:t>
      </w:r>
      <w:r>
        <w:rPr>
          <w:rFonts w:asciiTheme="minorHAnsi" w:hAnsiTheme="minorHAnsi" w:cs="Arial"/>
        </w:rPr>
        <w:t xml:space="preserve">communities of interest </w:t>
      </w:r>
      <w:proofErr w:type="gramStart"/>
      <w:r>
        <w:rPr>
          <w:rFonts w:asciiTheme="minorHAnsi" w:hAnsiTheme="minorHAnsi" w:cs="Arial"/>
        </w:rPr>
        <w:t>for the purpose of</w:t>
      </w:r>
      <w:proofErr w:type="gramEnd"/>
      <w:r>
        <w:rPr>
          <w:rFonts w:asciiTheme="minorHAnsi" w:hAnsiTheme="minorHAnsi" w:cs="Arial"/>
        </w:rPr>
        <w:t xml:space="preserve"> achieving effective representation for these communities. </w:t>
      </w:r>
      <w:r w:rsidR="00C53661">
        <w:rPr>
          <w:rFonts w:asciiTheme="minorHAnsi" w:hAnsiTheme="minorHAnsi" w:cs="Arial"/>
        </w:rPr>
        <w:t>Given the present level of growth, there is also a need to have the most up-to-date statistical information to reflect the current situation and future trends. In this regard the mayor said he would like to see the council undertake another representation review in three years rather than wait another six years.</w:t>
      </w:r>
    </w:p>
    <w:p w14:paraId="246ED17E" w14:textId="77777777" w:rsidR="00345E21" w:rsidRDefault="00C53661"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Arial"/>
        </w:rPr>
        <w:t>On the basis the council does undertake another review in three years using the most recent population data, we have decided to endorse the council’</w:t>
      </w:r>
      <w:r w:rsidR="003167E5">
        <w:rPr>
          <w:rFonts w:asciiTheme="minorHAnsi" w:hAnsiTheme="minorHAnsi" w:cs="Arial"/>
        </w:rPr>
        <w:t>s final proposal for a council comprising the mayor and eight councillors elected from four wards</w:t>
      </w:r>
      <w:r w:rsidR="00345E21">
        <w:rPr>
          <w:rFonts w:asciiTheme="minorHAnsi" w:hAnsiTheme="minorHAnsi" w:cs="Arial"/>
        </w:rPr>
        <w:t xml:space="preserve">, this includes a new </w:t>
      </w:r>
      <w:proofErr w:type="spellStart"/>
      <w:r w:rsidR="00345E21">
        <w:rPr>
          <w:rFonts w:asciiTheme="minorHAnsi" w:hAnsiTheme="minorHAnsi" w:cs="Arial"/>
        </w:rPr>
        <w:t>Kaiwaka-Mangawhai</w:t>
      </w:r>
      <w:proofErr w:type="spellEnd"/>
      <w:r w:rsidR="00345E21">
        <w:rPr>
          <w:rFonts w:asciiTheme="minorHAnsi" w:hAnsiTheme="minorHAnsi" w:cs="Arial"/>
        </w:rPr>
        <w:t xml:space="preserve"> Ward. </w:t>
      </w:r>
    </w:p>
    <w:p w14:paraId="55328AF0" w14:textId="69E49C47" w:rsidR="00A07757" w:rsidRDefault="00345E21"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Arial"/>
        </w:rPr>
        <w:t>We believe the proposed name of the new ward is appropriate, enabling residents to more easily identify with the area than the more generic ‘Eastern” name suggested by one appellant.</w:t>
      </w:r>
    </w:p>
    <w:p w14:paraId="27BA199C" w14:textId="2BE768A9" w:rsidR="00C53661" w:rsidRPr="008F71CD" w:rsidRDefault="00A07757"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Arial"/>
        </w:rPr>
        <w:t>In making this determination, w</w:t>
      </w:r>
      <w:r w:rsidR="003167E5">
        <w:rPr>
          <w:rFonts w:asciiTheme="minorHAnsi" w:hAnsiTheme="minorHAnsi" w:cs="Arial"/>
        </w:rPr>
        <w:t xml:space="preserve">e note that </w:t>
      </w:r>
      <w:proofErr w:type="spellStart"/>
      <w:r w:rsidR="003167E5">
        <w:rPr>
          <w:rFonts w:asciiTheme="minorHAnsi" w:hAnsiTheme="minorHAnsi" w:cs="Arial"/>
        </w:rPr>
        <w:t>Kaiapara</w:t>
      </w:r>
      <w:proofErr w:type="spellEnd"/>
      <w:r w:rsidR="003167E5">
        <w:rPr>
          <w:rFonts w:asciiTheme="minorHAnsi" w:hAnsiTheme="minorHAnsi" w:cs="Arial"/>
        </w:rPr>
        <w:t xml:space="preserve"> District Council was one of the original councils that adopted the STV electoral system when it </w:t>
      </w:r>
      <w:r>
        <w:rPr>
          <w:rFonts w:asciiTheme="minorHAnsi" w:hAnsiTheme="minorHAnsi" w:cs="Arial"/>
        </w:rPr>
        <w:t xml:space="preserve">first </w:t>
      </w:r>
      <w:r w:rsidR="003167E5">
        <w:rPr>
          <w:rFonts w:asciiTheme="minorHAnsi" w:hAnsiTheme="minorHAnsi" w:cs="Arial"/>
        </w:rPr>
        <w:t>became an option in 2004.</w:t>
      </w:r>
      <w:r>
        <w:rPr>
          <w:rFonts w:asciiTheme="minorHAnsi" w:hAnsiTheme="minorHAnsi" w:cs="Arial"/>
        </w:rPr>
        <w:t xml:space="preserve"> Given the lapse of time and that the membership of the council has changed completely since then, we believe another review in three years’ time would </w:t>
      </w:r>
      <w:r w:rsidR="00350FF4">
        <w:rPr>
          <w:rFonts w:asciiTheme="minorHAnsi" w:hAnsiTheme="minorHAnsi" w:cs="Arial"/>
        </w:rPr>
        <w:t xml:space="preserve">also </w:t>
      </w:r>
      <w:r w:rsidR="003167E5">
        <w:rPr>
          <w:rFonts w:asciiTheme="minorHAnsi" w:hAnsiTheme="minorHAnsi" w:cs="Arial"/>
        </w:rPr>
        <w:t xml:space="preserve">provide </w:t>
      </w:r>
      <w:r>
        <w:rPr>
          <w:rFonts w:asciiTheme="minorHAnsi" w:hAnsiTheme="minorHAnsi" w:cs="Arial"/>
        </w:rPr>
        <w:t>a timely</w:t>
      </w:r>
      <w:r w:rsidR="003167E5">
        <w:rPr>
          <w:rFonts w:asciiTheme="minorHAnsi" w:hAnsiTheme="minorHAnsi" w:cs="Arial"/>
        </w:rPr>
        <w:t xml:space="preserve"> opportunity for the council</w:t>
      </w:r>
      <w:r>
        <w:rPr>
          <w:rFonts w:asciiTheme="minorHAnsi" w:hAnsiTheme="minorHAnsi" w:cs="Arial"/>
        </w:rPr>
        <w:t xml:space="preserve"> to consider further the objectives of adopting STV</w:t>
      </w:r>
      <w:r w:rsidR="004C063C">
        <w:rPr>
          <w:rFonts w:asciiTheme="minorHAnsi" w:hAnsiTheme="minorHAnsi" w:cs="Arial"/>
        </w:rPr>
        <w:t>. This should include</w:t>
      </w:r>
      <w:r>
        <w:rPr>
          <w:rFonts w:asciiTheme="minorHAnsi" w:hAnsiTheme="minorHAnsi" w:cs="Arial"/>
        </w:rPr>
        <w:t xml:space="preserve"> </w:t>
      </w:r>
      <w:r w:rsidR="004C063C">
        <w:rPr>
          <w:rFonts w:asciiTheme="minorHAnsi" w:hAnsiTheme="minorHAnsi" w:cs="Arial"/>
        </w:rPr>
        <w:t xml:space="preserve">consideration of </w:t>
      </w:r>
      <w:r>
        <w:rPr>
          <w:rFonts w:asciiTheme="minorHAnsi" w:hAnsiTheme="minorHAnsi" w:cs="Arial"/>
        </w:rPr>
        <w:t>the representation arrangements that will best help achieve these objectives such as the number and size of wards.</w:t>
      </w:r>
    </w:p>
    <w:p w14:paraId="3292DE72" w14:textId="77777777" w:rsidR="00AF63A5" w:rsidRPr="00DC589A" w:rsidRDefault="00AF63A5" w:rsidP="00AF63A5">
      <w:pPr>
        <w:pStyle w:val="Heading3"/>
        <w:spacing w:before="0"/>
        <w:jc w:val="both"/>
        <w:rPr>
          <w:rFonts w:asciiTheme="minorHAnsi" w:hAnsiTheme="minorHAnsi" w:cstheme="minorHAnsi"/>
          <w:i/>
          <w:iCs/>
          <w:sz w:val="24"/>
          <w:szCs w:val="24"/>
        </w:rPr>
      </w:pPr>
      <w:r w:rsidRPr="00DC589A">
        <w:rPr>
          <w:rFonts w:asciiTheme="minorHAnsi" w:hAnsiTheme="minorHAnsi" w:cstheme="minorHAnsi"/>
          <w:i/>
          <w:sz w:val="24"/>
          <w:szCs w:val="24"/>
        </w:rPr>
        <w:t>Fair representation for electors</w:t>
      </w:r>
    </w:p>
    <w:p w14:paraId="3292DE73" w14:textId="77777777" w:rsidR="00AF63A5" w:rsidRPr="00EE252B" w:rsidRDefault="00AF63A5"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theme="minorHAnsi"/>
        </w:rPr>
        <w:t>For the purposes of fair representation for the electors of a district, s</w:t>
      </w:r>
      <w:r w:rsidRPr="000B0C9C">
        <w:rPr>
          <w:rFonts w:asciiTheme="minorHAnsi" w:hAnsiTheme="minorHAnsi" w:cstheme="minorHAnsi"/>
        </w:rPr>
        <w:t>ection 19V(</w:t>
      </w:r>
      <w:r>
        <w:rPr>
          <w:rFonts w:asciiTheme="minorHAnsi" w:hAnsiTheme="minorHAnsi" w:cstheme="minorHAnsi"/>
        </w:rPr>
        <w:t>2</w:t>
      </w:r>
      <w:r w:rsidRPr="000B0C9C">
        <w:rPr>
          <w:rFonts w:asciiTheme="minorHAnsi" w:hAnsiTheme="minorHAnsi" w:cstheme="minorHAnsi"/>
        </w:rPr>
        <w:t xml:space="preserve">) of the Act requires that the population of each ward divided by the number of members to be elected by that ward must produce a figure no more than 10 per cent greater or smaller than the population of the </w:t>
      </w:r>
      <w:r>
        <w:rPr>
          <w:rFonts w:asciiTheme="minorHAnsi" w:hAnsiTheme="minorHAnsi" w:cstheme="minorHAnsi"/>
        </w:rPr>
        <w:t>district</w:t>
      </w:r>
      <w:r w:rsidRPr="000B0C9C">
        <w:rPr>
          <w:rFonts w:asciiTheme="minorHAnsi" w:hAnsiTheme="minorHAnsi" w:cstheme="minorHAnsi"/>
        </w:rPr>
        <w:t xml:space="preserve"> divided by the total number of members (the ‘+/-10% rule’).</w:t>
      </w:r>
    </w:p>
    <w:p w14:paraId="3292DE74" w14:textId="4A9925C1" w:rsidR="00AF63A5" w:rsidRPr="00DC589A" w:rsidRDefault="00AF63A5" w:rsidP="00AF63A5">
      <w:pPr>
        <w:pStyle w:val="ListParagraph"/>
        <w:keepLines w:val="0"/>
        <w:numPr>
          <w:ilvl w:val="0"/>
          <w:numId w:val="25"/>
        </w:numPr>
        <w:ind w:left="567" w:hanging="567"/>
        <w:rPr>
          <w:rFonts w:asciiTheme="minorHAnsi" w:hAnsiTheme="minorHAnsi" w:cs="Arial"/>
        </w:rPr>
      </w:pPr>
      <w:r>
        <w:rPr>
          <w:rFonts w:asciiTheme="minorHAnsi" w:hAnsiTheme="minorHAnsi" w:cs="Arial"/>
        </w:rPr>
        <w:t xml:space="preserve">The council’s proposal for a council comprising the mayor and </w:t>
      </w:r>
      <w:r w:rsidR="003167E5">
        <w:rPr>
          <w:rFonts w:asciiTheme="minorHAnsi" w:hAnsiTheme="minorHAnsi" w:cs="Arial"/>
        </w:rPr>
        <w:t>eight</w:t>
      </w:r>
      <w:r>
        <w:rPr>
          <w:rFonts w:asciiTheme="minorHAnsi" w:hAnsiTheme="minorHAnsi" w:cs="Arial"/>
        </w:rPr>
        <w:t xml:space="preserve"> councillors elected from </w:t>
      </w:r>
      <w:r w:rsidR="003167E5">
        <w:rPr>
          <w:rFonts w:asciiTheme="minorHAnsi" w:hAnsiTheme="minorHAnsi" w:cs="Arial"/>
        </w:rPr>
        <w:t xml:space="preserve">four </w:t>
      </w:r>
      <w:r>
        <w:rPr>
          <w:rFonts w:asciiTheme="minorHAnsi" w:hAnsiTheme="minorHAnsi" w:cs="Arial"/>
        </w:rPr>
        <w:t>wards, complies with the rule.</w:t>
      </w:r>
    </w:p>
    <w:p w14:paraId="3292DE75" w14:textId="77777777" w:rsidR="00AF63A5" w:rsidRPr="00580F87" w:rsidRDefault="00AF63A5" w:rsidP="00AF63A5">
      <w:pPr>
        <w:pStyle w:val="Heading3"/>
        <w:spacing w:before="0" w:after="0"/>
        <w:jc w:val="both"/>
        <w:rPr>
          <w:rFonts w:asciiTheme="minorHAnsi" w:hAnsiTheme="minorHAnsi" w:cstheme="minorHAnsi"/>
          <w:i/>
          <w:iCs/>
          <w:sz w:val="24"/>
          <w:szCs w:val="24"/>
        </w:rPr>
      </w:pPr>
      <w:r w:rsidRPr="00580F87">
        <w:rPr>
          <w:rFonts w:asciiTheme="minorHAnsi" w:hAnsiTheme="minorHAnsi" w:cstheme="minorHAnsi"/>
          <w:i/>
          <w:sz w:val="24"/>
          <w:szCs w:val="24"/>
        </w:rPr>
        <w:t>Communities and community boards</w:t>
      </w:r>
    </w:p>
    <w:p w14:paraId="3292DE76" w14:textId="77777777" w:rsidR="00AF63A5" w:rsidRPr="00A224D8" w:rsidRDefault="00AF63A5" w:rsidP="00AF63A5">
      <w:pPr>
        <w:pStyle w:val="ListParagraph"/>
        <w:keepLines w:val="0"/>
        <w:numPr>
          <w:ilvl w:val="0"/>
          <w:numId w:val="25"/>
        </w:numPr>
        <w:spacing w:after="120"/>
        <w:ind w:left="567" w:hanging="567"/>
        <w:rPr>
          <w:rFonts w:asciiTheme="minorHAnsi" w:hAnsiTheme="minorHAnsi" w:cs="Arial"/>
        </w:rPr>
      </w:pPr>
      <w:r w:rsidRPr="0049350E">
        <w:rPr>
          <w:rFonts w:asciiTheme="minorHAnsi" w:hAnsiTheme="minorHAnsi" w:cstheme="minorHAnsi"/>
        </w:rPr>
        <w:t xml:space="preserve">Section 19J of the Act requires every territorial authority, as part of its review of representation arrangements, to determine whether there should be community boards in the district and, if so, the nature of those communities and the structure of the community boards.  The territorial authority must make this determination </w:t>
      </w:r>
      <w:proofErr w:type="gramStart"/>
      <w:r w:rsidRPr="0049350E">
        <w:rPr>
          <w:rFonts w:asciiTheme="minorHAnsi" w:hAnsiTheme="minorHAnsi" w:cstheme="minorHAnsi"/>
        </w:rPr>
        <w:t>in light of</w:t>
      </w:r>
      <w:proofErr w:type="gramEnd"/>
      <w:r w:rsidRPr="0049350E">
        <w:rPr>
          <w:rFonts w:asciiTheme="minorHAnsi" w:hAnsiTheme="minorHAnsi" w:cstheme="minorHAnsi"/>
        </w:rPr>
        <w:t xml:space="preserve"> the principle in section 4 of the Act relating to fair and effective representation for individuals and communities</w:t>
      </w:r>
      <w:r>
        <w:rPr>
          <w:rFonts w:asciiTheme="minorHAnsi" w:hAnsiTheme="minorHAnsi" w:cstheme="minorHAnsi"/>
        </w:rPr>
        <w:t>.</w:t>
      </w:r>
    </w:p>
    <w:p w14:paraId="3292DE77" w14:textId="77777777" w:rsidR="00AF63A5" w:rsidRPr="00A224D8" w:rsidRDefault="00AF63A5" w:rsidP="00AF63A5">
      <w:pPr>
        <w:pStyle w:val="ListParagraph"/>
        <w:keepLines w:val="0"/>
        <w:numPr>
          <w:ilvl w:val="0"/>
          <w:numId w:val="25"/>
        </w:numPr>
        <w:spacing w:after="120"/>
        <w:ind w:left="567" w:hanging="567"/>
        <w:rPr>
          <w:rFonts w:asciiTheme="minorHAnsi" w:hAnsiTheme="minorHAnsi" w:cs="Arial"/>
        </w:rPr>
      </w:pPr>
      <w:r w:rsidRPr="0049350E">
        <w:rPr>
          <w:rFonts w:asciiTheme="minorHAnsi" w:hAnsiTheme="minorHAnsi" w:cstheme="minorHAnsi"/>
        </w:rPr>
        <w:t xml:space="preserve">The </w:t>
      </w:r>
      <w:proofErr w:type="gramStart"/>
      <w:r w:rsidRPr="0049350E">
        <w:rPr>
          <w:rFonts w:asciiTheme="minorHAnsi" w:hAnsiTheme="minorHAnsi" w:cstheme="minorHAnsi"/>
        </w:rPr>
        <w:t>particular matters</w:t>
      </w:r>
      <w:proofErr w:type="gramEnd"/>
      <w:r w:rsidRPr="0049350E">
        <w:rPr>
          <w:rFonts w:asciiTheme="minorHAnsi" w:hAnsiTheme="minorHAnsi" w:cstheme="minorHAnsi"/>
        </w:rPr>
        <w:t xml:space="preserve"> the territorial authority, and where appropriate the Commission, must determine include the number of boards to be constituted, their names and boundaries, the number of elected and appointed members, and whether the boards are to be subdivided for electoral purposes.  Section 19W also requires regard to be given to such of the criteria as apply to reorganisation proposals under the Local Government Act 2002 as is considered appropriate.  The Commission sees two of these criteria as particularly relevant for the consideration of proposals relating to community boards as part of a representation review</w:t>
      </w:r>
      <w:r>
        <w:rPr>
          <w:rFonts w:asciiTheme="minorHAnsi" w:hAnsiTheme="minorHAnsi" w:cstheme="minorHAnsi"/>
        </w:rPr>
        <w:t>:</w:t>
      </w:r>
    </w:p>
    <w:p w14:paraId="3292DE78" w14:textId="77777777" w:rsidR="00AF63A5" w:rsidRPr="0049350E" w:rsidRDefault="00AF63A5" w:rsidP="00AF63A5">
      <w:pPr>
        <w:keepLines w:val="0"/>
        <w:numPr>
          <w:ilvl w:val="1"/>
          <w:numId w:val="31"/>
        </w:numPr>
        <w:spacing w:before="80" w:after="80"/>
        <w:rPr>
          <w:rFonts w:asciiTheme="minorHAnsi" w:hAnsiTheme="minorHAnsi" w:cstheme="minorHAnsi"/>
        </w:rPr>
      </w:pPr>
      <w:r w:rsidRPr="0049350E">
        <w:rPr>
          <w:rFonts w:asciiTheme="minorHAnsi" w:hAnsiTheme="minorHAnsi" w:cstheme="minorHAnsi"/>
        </w:rPr>
        <w:t>Will a community board have an area that is appropriate for the efficient and effective performance of its role?</w:t>
      </w:r>
    </w:p>
    <w:p w14:paraId="3292DE79" w14:textId="77777777" w:rsidR="00AF63A5" w:rsidRPr="0049350E" w:rsidRDefault="00AF63A5" w:rsidP="00AF63A5">
      <w:pPr>
        <w:keepLines w:val="0"/>
        <w:numPr>
          <w:ilvl w:val="1"/>
          <w:numId w:val="31"/>
        </w:numPr>
        <w:spacing w:before="80" w:after="80"/>
        <w:rPr>
          <w:rFonts w:asciiTheme="minorHAnsi" w:hAnsiTheme="minorHAnsi" w:cstheme="minorHAnsi"/>
        </w:rPr>
      </w:pPr>
      <w:r w:rsidRPr="0049350E">
        <w:rPr>
          <w:rFonts w:asciiTheme="minorHAnsi" w:hAnsiTheme="minorHAnsi" w:cstheme="minorHAnsi"/>
        </w:rPr>
        <w:t>Will the community contain a sufficiently distinct community or communities of interest?</w:t>
      </w:r>
    </w:p>
    <w:p w14:paraId="3292DE7A" w14:textId="436469E1" w:rsidR="00AF63A5" w:rsidRDefault="00AF63A5"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Arial"/>
        </w:rPr>
        <w:t xml:space="preserve">There have been </w:t>
      </w:r>
      <w:r w:rsidR="003167E5">
        <w:rPr>
          <w:rFonts w:asciiTheme="minorHAnsi" w:hAnsiTheme="minorHAnsi" w:cs="Arial"/>
        </w:rPr>
        <w:t xml:space="preserve">no </w:t>
      </w:r>
      <w:r>
        <w:rPr>
          <w:rFonts w:asciiTheme="minorHAnsi" w:hAnsiTheme="minorHAnsi" w:cs="Arial"/>
        </w:rPr>
        <w:t xml:space="preserve">community boards in </w:t>
      </w:r>
      <w:r w:rsidR="003167E5">
        <w:rPr>
          <w:rFonts w:asciiTheme="minorHAnsi" w:hAnsiTheme="minorHAnsi" w:cs="Arial"/>
        </w:rPr>
        <w:t>Kaipara</w:t>
      </w:r>
      <w:r>
        <w:rPr>
          <w:rFonts w:asciiTheme="minorHAnsi" w:hAnsiTheme="minorHAnsi" w:cs="Arial"/>
        </w:rPr>
        <w:t xml:space="preserve"> District since </w:t>
      </w:r>
      <w:r w:rsidR="003167E5">
        <w:rPr>
          <w:rFonts w:asciiTheme="minorHAnsi" w:hAnsiTheme="minorHAnsi" w:cs="Arial"/>
        </w:rPr>
        <w:t>its constitution in 1989 and none of the appellants specifically raised this matter. On this basis we also endorse this aspect of the council’s proposal.</w:t>
      </w:r>
    </w:p>
    <w:p w14:paraId="3292DE7B" w14:textId="73509218" w:rsidR="00AF63A5" w:rsidRDefault="003167E5" w:rsidP="006768C5">
      <w:pPr>
        <w:pStyle w:val="ListParagraph"/>
        <w:keepLines w:val="0"/>
        <w:numPr>
          <w:ilvl w:val="0"/>
          <w:numId w:val="25"/>
        </w:numPr>
        <w:spacing w:before="120" w:after="120"/>
        <w:ind w:left="567" w:hanging="567"/>
      </w:pPr>
      <w:r>
        <w:t xml:space="preserve">We note, however, that there was a </w:t>
      </w:r>
      <w:r w:rsidR="00A07757">
        <w:t xml:space="preserve">reasonably strong </w:t>
      </w:r>
      <w:r w:rsidR="00350FF4">
        <w:t>level</w:t>
      </w:r>
      <w:r>
        <w:t xml:space="preserve"> of support</w:t>
      </w:r>
      <w:r w:rsidR="00A07757">
        <w:t xml:space="preserve"> for community boards in the council’s preliminary consultation. We suggest t</w:t>
      </w:r>
      <w:r w:rsidR="00AF63A5">
        <w:t>he council</w:t>
      </w:r>
      <w:r w:rsidR="00525780">
        <w:t xml:space="preserve">, as part of its next review, may wish to </w:t>
      </w:r>
      <w:r w:rsidR="00A07757">
        <w:t xml:space="preserve">consider this option further and to consult </w:t>
      </w:r>
      <w:proofErr w:type="gramStart"/>
      <w:r w:rsidR="00A07757">
        <w:t>particular communities</w:t>
      </w:r>
      <w:proofErr w:type="gramEnd"/>
      <w:r w:rsidR="00A07757">
        <w:t xml:space="preserve">, including </w:t>
      </w:r>
      <w:r w:rsidR="00E543A2">
        <w:t xml:space="preserve">those </w:t>
      </w:r>
      <w:r w:rsidR="00A07757">
        <w:t xml:space="preserve">in the eastern area, as to whether it might address </w:t>
      </w:r>
      <w:r w:rsidR="00525780">
        <w:t>some of the concerns raised in the current review.</w:t>
      </w:r>
    </w:p>
    <w:p w14:paraId="3292DE83" w14:textId="77777777" w:rsidR="00AF63A5" w:rsidRPr="009E5B45" w:rsidRDefault="00AF63A5" w:rsidP="00AF63A5">
      <w:pPr>
        <w:pStyle w:val="Heading3"/>
        <w:spacing w:before="80" w:after="80"/>
        <w:jc w:val="both"/>
        <w:rPr>
          <w:rFonts w:asciiTheme="minorHAnsi" w:hAnsiTheme="minorHAnsi" w:cstheme="minorHAnsi"/>
          <w:i/>
          <w:iCs/>
          <w:szCs w:val="28"/>
        </w:rPr>
      </w:pPr>
      <w:r w:rsidRPr="009E5B45">
        <w:rPr>
          <w:rFonts w:asciiTheme="minorHAnsi" w:hAnsiTheme="minorHAnsi" w:cstheme="minorHAnsi"/>
          <w:szCs w:val="28"/>
        </w:rPr>
        <w:t>Commission’s determination</w:t>
      </w:r>
    </w:p>
    <w:p w14:paraId="3292DE84" w14:textId="4A8DA00B" w:rsidR="00AF63A5" w:rsidRPr="00FD068C" w:rsidRDefault="00AF63A5" w:rsidP="00AF63A5">
      <w:pPr>
        <w:pStyle w:val="ListParagraph"/>
        <w:keepLines w:val="0"/>
        <w:numPr>
          <w:ilvl w:val="0"/>
          <w:numId w:val="25"/>
        </w:numPr>
        <w:spacing w:after="120"/>
        <w:ind w:left="567" w:hanging="567"/>
        <w:rPr>
          <w:rFonts w:asciiTheme="minorHAnsi" w:hAnsiTheme="minorHAnsi" w:cs="Arial"/>
        </w:rPr>
      </w:pPr>
      <w:r w:rsidRPr="001265B4">
        <w:rPr>
          <w:rFonts w:asciiTheme="minorHAnsi" w:hAnsiTheme="minorHAnsi" w:cstheme="minorHAnsi"/>
          <w:color w:val="000000"/>
        </w:rPr>
        <w:t xml:space="preserve">Under section 19R of the Local Electoral Act 2001, the Commission determines that for the general election of </w:t>
      </w:r>
      <w:r w:rsidR="001F5DAB">
        <w:rPr>
          <w:rFonts w:asciiTheme="minorHAnsi" w:hAnsiTheme="minorHAnsi" w:cstheme="minorHAnsi"/>
          <w:color w:val="000000"/>
        </w:rPr>
        <w:t>Kaipara</w:t>
      </w:r>
      <w:r>
        <w:rPr>
          <w:rFonts w:asciiTheme="minorHAnsi" w:hAnsiTheme="minorHAnsi" w:cstheme="minorHAnsi"/>
          <w:color w:val="000000"/>
        </w:rPr>
        <w:t xml:space="preserve"> District</w:t>
      </w:r>
      <w:r w:rsidRPr="001265B4">
        <w:rPr>
          <w:rFonts w:asciiTheme="minorHAnsi" w:hAnsiTheme="minorHAnsi" w:cstheme="minorHAnsi"/>
          <w:color w:val="000000"/>
        </w:rPr>
        <w:t xml:space="preserve"> Council to be held on 12 October 2019, the following representation arrangements will apply</w:t>
      </w:r>
      <w:r>
        <w:rPr>
          <w:rFonts w:asciiTheme="minorHAnsi" w:hAnsiTheme="minorHAnsi" w:cstheme="minorHAnsi"/>
          <w:color w:val="000000"/>
        </w:rPr>
        <w:t>:</w:t>
      </w:r>
    </w:p>
    <w:p w14:paraId="3292DE85" w14:textId="52876BB0" w:rsidR="00AF63A5" w:rsidRPr="00B24754" w:rsidRDefault="001F5DAB" w:rsidP="00AF63A5">
      <w:pPr>
        <w:pStyle w:val="ListParagraph"/>
        <w:keepLines w:val="0"/>
        <w:numPr>
          <w:ilvl w:val="1"/>
          <w:numId w:val="32"/>
        </w:numPr>
        <w:spacing w:after="120"/>
        <w:rPr>
          <w:rFonts w:asciiTheme="minorHAnsi" w:hAnsiTheme="minorHAnsi" w:cs="Arial"/>
        </w:rPr>
      </w:pPr>
      <w:r>
        <w:rPr>
          <w:rFonts w:asciiTheme="minorHAnsi" w:hAnsiTheme="minorHAnsi" w:cstheme="minorHAnsi"/>
          <w:color w:val="000000"/>
        </w:rPr>
        <w:t>Kaipara</w:t>
      </w:r>
      <w:r w:rsidR="00AF63A5">
        <w:rPr>
          <w:rFonts w:asciiTheme="minorHAnsi" w:hAnsiTheme="minorHAnsi" w:cstheme="minorHAnsi"/>
          <w:color w:val="000000"/>
        </w:rPr>
        <w:t xml:space="preserve"> District</w:t>
      </w:r>
      <w:r w:rsidR="00AF63A5" w:rsidRPr="001265B4">
        <w:rPr>
          <w:rFonts w:asciiTheme="minorHAnsi" w:hAnsiTheme="minorHAnsi" w:cstheme="minorHAnsi"/>
          <w:color w:val="000000"/>
        </w:rPr>
        <w:t xml:space="preserve">, as delineated on </w:t>
      </w:r>
      <w:r w:rsidR="00AF63A5">
        <w:rPr>
          <w:rFonts w:asciiTheme="minorHAnsi" w:hAnsiTheme="minorHAnsi" w:cstheme="minorHAnsi"/>
          <w:color w:val="000000"/>
        </w:rPr>
        <w:t>Plan LG-0</w:t>
      </w:r>
      <w:r>
        <w:rPr>
          <w:rFonts w:asciiTheme="minorHAnsi" w:hAnsiTheme="minorHAnsi" w:cstheme="minorHAnsi"/>
          <w:color w:val="000000"/>
        </w:rPr>
        <w:t>03</w:t>
      </w:r>
      <w:r w:rsidR="00AF63A5">
        <w:rPr>
          <w:rFonts w:asciiTheme="minorHAnsi" w:hAnsiTheme="minorHAnsi" w:cstheme="minorHAnsi"/>
          <w:color w:val="000000"/>
        </w:rPr>
        <w:t>-2019-W-1</w:t>
      </w:r>
      <w:r w:rsidR="00AF63A5" w:rsidRPr="001265B4">
        <w:rPr>
          <w:rFonts w:asciiTheme="minorHAnsi" w:hAnsiTheme="minorHAnsi" w:cstheme="minorHAnsi"/>
          <w:color w:val="000000"/>
        </w:rPr>
        <w:t xml:space="preserve"> deposited with </w:t>
      </w:r>
      <w:r w:rsidR="00AF63A5">
        <w:rPr>
          <w:rFonts w:asciiTheme="minorHAnsi" w:hAnsiTheme="minorHAnsi" w:cstheme="minorHAnsi"/>
          <w:color w:val="000000"/>
        </w:rPr>
        <w:t xml:space="preserve">the </w:t>
      </w:r>
      <w:r w:rsidR="00AF63A5" w:rsidRPr="001265B4">
        <w:rPr>
          <w:rFonts w:asciiTheme="minorHAnsi" w:hAnsiTheme="minorHAnsi" w:cstheme="minorHAnsi"/>
          <w:color w:val="000000"/>
        </w:rPr>
        <w:t>L</w:t>
      </w:r>
      <w:r w:rsidR="00AF63A5">
        <w:rPr>
          <w:rFonts w:asciiTheme="minorHAnsi" w:hAnsiTheme="minorHAnsi" w:cstheme="minorHAnsi"/>
          <w:color w:val="000000"/>
        </w:rPr>
        <w:t>ocal Government Commission</w:t>
      </w:r>
      <w:r w:rsidR="00AF63A5" w:rsidRPr="001265B4">
        <w:rPr>
          <w:rFonts w:asciiTheme="minorHAnsi" w:hAnsiTheme="minorHAnsi" w:cstheme="minorHAnsi"/>
          <w:color w:val="000000"/>
        </w:rPr>
        <w:t xml:space="preserve">, will be divided into </w:t>
      </w:r>
      <w:r>
        <w:rPr>
          <w:rFonts w:asciiTheme="minorHAnsi" w:hAnsiTheme="minorHAnsi" w:cstheme="minorHAnsi"/>
          <w:color w:val="000000"/>
        </w:rPr>
        <w:t>four</w:t>
      </w:r>
      <w:r w:rsidR="00AF63A5" w:rsidRPr="001265B4">
        <w:rPr>
          <w:rFonts w:asciiTheme="minorHAnsi" w:hAnsiTheme="minorHAnsi" w:cstheme="minorHAnsi"/>
          <w:color w:val="000000"/>
        </w:rPr>
        <w:t xml:space="preserve"> ward</w:t>
      </w:r>
      <w:r w:rsidR="00AF63A5">
        <w:rPr>
          <w:rFonts w:asciiTheme="minorHAnsi" w:hAnsiTheme="minorHAnsi" w:cstheme="minorHAnsi"/>
          <w:color w:val="000000"/>
        </w:rPr>
        <w:t>s.</w:t>
      </w:r>
    </w:p>
    <w:p w14:paraId="3292DE87" w14:textId="57EDF9A4" w:rsidR="00AF63A5" w:rsidRPr="00DF3C83" w:rsidRDefault="00AF63A5" w:rsidP="00AF63A5">
      <w:pPr>
        <w:pStyle w:val="ListParagraph"/>
        <w:keepLines w:val="0"/>
        <w:numPr>
          <w:ilvl w:val="1"/>
          <w:numId w:val="32"/>
        </w:numPr>
        <w:spacing w:after="120"/>
        <w:rPr>
          <w:rFonts w:asciiTheme="minorHAnsi" w:hAnsiTheme="minorHAnsi" w:cs="Arial"/>
        </w:rPr>
      </w:pPr>
      <w:r w:rsidRPr="001265B4">
        <w:rPr>
          <w:rFonts w:asciiTheme="minorHAnsi" w:hAnsiTheme="minorHAnsi" w:cstheme="minorHAnsi"/>
          <w:color w:val="000000"/>
        </w:rPr>
        <w:t xml:space="preserve">Those </w:t>
      </w:r>
      <w:r w:rsidR="001F5DAB">
        <w:rPr>
          <w:rFonts w:asciiTheme="minorHAnsi" w:hAnsiTheme="minorHAnsi" w:cstheme="minorHAnsi"/>
          <w:color w:val="000000"/>
        </w:rPr>
        <w:t>four</w:t>
      </w:r>
      <w:r w:rsidRPr="001265B4">
        <w:rPr>
          <w:rFonts w:asciiTheme="minorHAnsi" w:hAnsiTheme="minorHAnsi" w:cstheme="minorHAnsi"/>
          <w:color w:val="000000"/>
        </w:rPr>
        <w:t xml:space="preserve"> wards will be:</w:t>
      </w:r>
    </w:p>
    <w:p w14:paraId="3292DE88" w14:textId="14A88693" w:rsidR="00AF63A5" w:rsidRPr="001265B4" w:rsidRDefault="001F5DAB" w:rsidP="00AF63A5">
      <w:pPr>
        <w:keepLines w:val="0"/>
        <w:numPr>
          <w:ilvl w:val="2"/>
          <w:numId w:val="37"/>
        </w:numPr>
        <w:spacing w:before="80" w:after="80"/>
        <w:ind w:left="2268" w:hanging="288"/>
        <w:rPr>
          <w:rFonts w:asciiTheme="minorHAnsi" w:hAnsiTheme="minorHAnsi" w:cstheme="minorHAnsi"/>
          <w:color w:val="000000"/>
        </w:rPr>
      </w:pPr>
      <w:proofErr w:type="spellStart"/>
      <w:r>
        <w:rPr>
          <w:rFonts w:asciiTheme="minorHAnsi" w:hAnsiTheme="minorHAnsi" w:cstheme="minorHAnsi"/>
          <w:color w:val="000000"/>
        </w:rPr>
        <w:t>Dargaville</w:t>
      </w:r>
      <w:proofErr w:type="spellEnd"/>
      <w:r w:rsidR="00AF63A5" w:rsidRPr="001265B4">
        <w:rPr>
          <w:rFonts w:asciiTheme="minorHAnsi" w:hAnsiTheme="minorHAnsi" w:cstheme="minorHAnsi"/>
          <w:color w:val="000000"/>
        </w:rPr>
        <w:t xml:space="preserve"> Ward, comprising the area delineated on </w:t>
      </w:r>
      <w:r>
        <w:rPr>
          <w:rFonts w:asciiTheme="minorHAnsi" w:hAnsiTheme="minorHAnsi" w:cstheme="minorHAnsi"/>
          <w:color w:val="000000"/>
        </w:rPr>
        <w:t xml:space="preserve">SO </w:t>
      </w:r>
      <w:r w:rsidR="00AF63A5">
        <w:rPr>
          <w:rFonts w:asciiTheme="minorHAnsi" w:hAnsiTheme="minorHAnsi" w:cstheme="minorHAnsi"/>
          <w:color w:val="000000"/>
        </w:rPr>
        <w:t xml:space="preserve">Plan </w:t>
      </w:r>
      <w:r>
        <w:rPr>
          <w:rFonts w:asciiTheme="minorHAnsi" w:hAnsiTheme="minorHAnsi" w:cstheme="minorHAnsi"/>
          <w:color w:val="000000"/>
        </w:rPr>
        <w:t>70435</w:t>
      </w:r>
      <w:r w:rsidR="00AF63A5">
        <w:rPr>
          <w:rFonts w:asciiTheme="minorHAnsi" w:hAnsiTheme="minorHAnsi" w:cstheme="minorHAnsi"/>
          <w:color w:val="000000"/>
        </w:rPr>
        <w:t xml:space="preserve"> d</w:t>
      </w:r>
      <w:r w:rsidR="00AF63A5" w:rsidRPr="001265B4">
        <w:rPr>
          <w:rFonts w:asciiTheme="minorHAnsi" w:hAnsiTheme="minorHAnsi" w:cstheme="minorHAnsi"/>
          <w:color w:val="000000"/>
        </w:rPr>
        <w:t xml:space="preserve">eposited with </w:t>
      </w:r>
      <w:r>
        <w:rPr>
          <w:rFonts w:asciiTheme="minorHAnsi" w:hAnsiTheme="minorHAnsi" w:cstheme="minorHAnsi"/>
          <w:color w:val="000000"/>
        </w:rPr>
        <w:t>Land Informat</w:t>
      </w:r>
      <w:r w:rsidR="00AF63A5">
        <w:rPr>
          <w:rFonts w:asciiTheme="minorHAnsi" w:hAnsiTheme="minorHAnsi" w:cstheme="minorHAnsi"/>
          <w:color w:val="000000"/>
        </w:rPr>
        <w:t xml:space="preserve">ion </w:t>
      </w:r>
      <w:r>
        <w:rPr>
          <w:rFonts w:asciiTheme="minorHAnsi" w:hAnsiTheme="minorHAnsi" w:cstheme="minorHAnsi"/>
          <w:color w:val="000000"/>
        </w:rPr>
        <w:t>New Zealand</w:t>
      </w:r>
    </w:p>
    <w:p w14:paraId="3292DE89" w14:textId="6D626BA7" w:rsidR="00AF63A5" w:rsidRPr="001265B4" w:rsidRDefault="001F5DAB" w:rsidP="00AF63A5">
      <w:pPr>
        <w:keepLines w:val="0"/>
        <w:numPr>
          <w:ilvl w:val="2"/>
          <w:numId w:val="37"/>
        </w:numPr>
        <w:spacing w:before="80" w:after="80"/>
        <w:ind w:left="2268" w:hanging="288"/>
        <w:rPr>
          <w:rFonts w:asciiTheme="minorHAnsi" w:hAnsiTheme="minorHAnsi" w:cstheme="minorHAnsi"/>
          <w:color w:val="000000"/>
        </w:rPr>
      </w:pPr>
      <w:r>
        <w:rPr>
          <w:rFonts w:asciiTheme="minorHAnsi" w:hAnsiTheme="minorHAnsi" w:cstheme="minorHAnsi"/>
          <w:color w:val="000000"/>
        </w:rPr>
        <w:t>West Coast-Central</w:t>
      </w:r>
      <w:r w:rsidR="00AF63A5" w:rsidRPr="001265B4">
        <w:rPr>
          <w:rFonts w:asciiTheme="minorHAnsi" w:hAnsiTheme="minorHAnsi" w:cstheme="minorHAnsi"/>
          <w:color w:val="000000"/>
        </w:rPr>
        <w:t xml:space="preserve"> Ward, comprising the area delineated on </w:t>
      </w:r>
      <w:r w:rsidR="00AF63A5">
        <w:rPr>
          <w:rFonts w:asciiTheme="minorHAnsi" w:hAnsiTheme="minorHAnsi" w:cstheme="minorHAnsi"/>
          <w:color w:val="000000"/>
        </w:rPr>
        <w:t>Plan LG-0</w:t>
      </w:r>
      <w:r>
        <w:rPr>
          <w:rFonts w:asciiTheme="minorHAnsi" w:hAnsiTheme="minorHAnsi" w:cstheme="minorHAnsi"/>
          <w:color w:val="000000"/>
        </w:rPr>
        <w:t>03</w:t>
      </w:r>
      <w:r w:rsidR="00AF63A5">
        <w:rPr>
          <w:rFonts w:asciiTheme="minorHAnsi" w:hAnsiTheme="minorHAnsi" w:cstheme="minorHAnsi"/>
          <w:color w:val="000000"/>
        </w:rPr>
        <w:t>-2019-W-2</w:t>
      </w:r>
      <w:r w:rsidR="00AF63A5" w:rsidRPr="001265B4">
        <w:rPr>
          <w:rFonts w:asciiTheme="minorHAnsi" w:hAnsiTheme="minorHAnsi" w:cstheme="minorHAnsi"/>
          <w:color w:val="000000"/>
        </w:rPr>
        <w:t xml:space="preserve"> deposited with </w:t>
      </w:r>
      <w:r w:rsidR="00AF63A5">
        <w:rPr>
          <w:rFonts w:asciiTheme="minorHAnsi" w:hAnsiTheme="minorHAnsi" w:cstheme="minorHAnsi"/>
          <w:color w:val="000000"/>
        </w:rPr>
        <w:t xml:space="preserve">the </w:t>
      </w:r>
      <w:r w:rsidR="00AF63A5" w:rsidRPr="001265B4">
        <w:rPr>
          <w:rFonts w:asciiTheme="minorHAnsi" w:hAnsiTheme="minorHAnsi" w:cstheme="minorHAnsi"/>
          <w:color w:val="000000"/>
        </w:rPr>
        <w:t>L</w:t>
      </w:r>
      <w:r w:rsidR="00AF63A5">
        <w:rPr>
          <w:rFonts w:asciiTheme="minorHAnsi" w:hAnsiTheme="minorHAnsi" w:cstheme="minorHAnsi"/>
          <w:color w:val="000000"/>
        </w:rPr>
        <w:t>ocal Government Commiss</w:t>
      </w:r>
      <w:r w:rsidR="00AF63A5" w:rsidRPr="001265B4">
        <w:rPr>
          <w:rFonts w:asciiTheme="minorHAnsi" w:hAnsiTheme="minorHAnsi" w:cstheme="minorHAnsi"/>
          <w:color w:val="000000"/>
        </w:rPr>
        <w:t>ion</w:t>
      </w:r>
      <w:r w:rsidR="00AF63A5">
        <w:rPr>
          <w:rFonts w:asciiTheme="minorHAnsi" w:hAnsiTheme="minorHAnsi" w:cstheme="minorHAnsi"/>
          <w:color w:val="000000"/>
        </w:rPr>
        <w:t xml:space="preserve"> </w:t>
      </w:r>
    </w:p>
    <w:p w14:paraId="3292DE8A" w14:textId="47B9F11B" w:rsidR="00AF63A5" w:rsidRDefault="001F5DAB" w:rsidP="00AF63A5">
      <w:pPr>
        <w:keepLines w:val="0"/>
        <w:numPr>
          <w:ilvl w:val="2"/>
          <w:numId w:val="37"/>
        </w:numPr>
        <w:spacing w:before="80" w:after="80"/>
        <w:ind w:left="2268" w:hanging="288"/>
        <w:rPr>
          <w:rFonts w:asciiTheme="minorHAnsi" w:hAnsiTheme="minorHAnsi" w:cstheme="minorHAnsi"/>
          <w:color w:val="000000"/>
        </w:rPr>
      </w:pPr>
      <w:proofErr w:type="spellStart"/>
      <w:r>
        <w:rPr>
          <w:rFonts w:asciiTheme="minorHAnsi" w:hAnsiTheme="minorHAnsi" w:cstheme="minorHAnsi"/>
          <w:color w:val="000000"/>
        </w:rPr>
        <w:t>Otamatea</w:t>
      </w:r>
      <w:proofErr w:type="spellEnd"/>
      <w:r w:rsidR="00AF63A5" w:rsidRPr="001265B4">
        <w:rPr>
          <w:rFonts w:asciiTheme="minorHAnsi" w:hAnsiTheme="minorHAnsi" w:cstheme="minorHAnsi"/>
          <w:color w:val="000000"/>
        </w:rPr>
        <w:t xml:space="preserve"> Ward, comprising the area delineated on </w:t>
      </w:r>
      <w:r w:rsidR="00AF63A5">
        <w:rPr>
          <w:rFonts w:asciiTheme="minorHAnsi" w:hAnsiTheme="minorHAnsi" w:cstheme="minorHAnsi"/>
          <w:color w:val="000000"/>
        </w:rPr>
        <w:t>Plan LG-0</w:t>
      </w:r>
      <w:r>
        <w:rPr>
          <w:rFonts w:asciiTheme="minorHAnsi" w:hAnsiTheme="minorHAnsi" w:cstheme="minorHAnsi"/>
          <w:color w:val="000000"/>
        </w:rPr>
        <w:t>03</w:t>
      </w:r>
      <w:r w:rsidR="00AF63A5">
        <w:rPr>
          <w:rFonts w:asciiTheme="minorHAnsi" w:hAnsiTheme="minorHAnsi" w:cstheme="minorHAnsi"/>
          <w:color w:val="000000"/>
        </w:rPr>
        <w:t>-201</w:t>
      </w:r>
      <w:r>
        <w:rPr>
          <w:rFonts w:asciiTheme="minorHAnsi" w:hAnsiTheme="minorHAnsi" w:cstheme="minorHAnsi"/>
          <w:color w:val="000000"/>
        </w:rPr>
        <w:t>9</w:t>
      </w:r>
      <w:r w:rsidR="00AF63A5">
        <w:rPr>
          <w:rFonts w:asciiTheme="minorHAnsi" w:hAnsiTheme="minorHAnsi" w:cstheme="minorHAnsi"/>
          <w:color w:val="000000"/>
        </w:rPr>
        <w:t>-W-</w:t>
      </w:r>
      <w:r>
        <w:rPr>
          <w:rFonts w:asciiTheme="minorHAnsi" w:hAnsiTheme="minorHAnsi" w:cstheme="minorHAnsi"/>
          <w:color w:val="000000"/>
        </w:rPr>
        <w:t>3</w:t>
      </w:r>
      <w:r w:rsidR="00AF63A5">
        <w:rPr>
          <w:rFonts w:asciiTheme="minorHAnsi" w:hAnsiTheme="minorHAnsi" w:cstheme="minorHAnsi"/>
          <w:color w:val="000000"/>
        </w:rPr>
        <w:t xml:space="preserve"> </w:t>
      </w:r>
      <w:r w:rsidR="00AF63A5" w:rsidRPr="001265B4">
        <w:rPr>
          <w:rFonts w:asciiTheme="minorHAnsi" w:hAnsiTheme="minorHAnsi" w:cstheme="minorHAnsi"/>
          <w:color w:val="000000"/>
        </w:rPr>
        <w:t xml:space="preserve">deposited with </w:t>
      </w:r>
      <w:r w:rsidR="00AF63A5">
        <w:rPr>
          <w:rFonts w:asciiTheme="minorHAnsi" w:hAnsiTheme="minorHAnsi" w:cstheme="minorHAnsi"/>
          <w:color w:val="000000"/>
        </w:rPr>
        <w:t xml:space="preserve">the </w:t>
      </w:r>
      <w:r w:rsidR="00AF63A5" w:rsidRPr="001265B4">
        <w:rPr>
          <w:rFonts w:asciiTheme="minorHAnsi" w:hAnsiTheme="minorHAnsi" w:cstheme="minorHAnsi"/>
          <w:color w:val="000000"/>
        </w:rPr>
        <w:t>L</w:t>
      </w:r>
      <w:r w:rsidR="00AF63A5">
        <w:rPr>
          <w:rFonts w:asciiTheme="minorHAnsi" w:hAnsiTheme="minorHAnsi" w:cstheme="minorHAnsi"/>
          <w:color w:val="000000"/>
        </w:rPr>
        <w:t>ocal G</w:t>
      </w:r>
      <w:r w:rsidR="00AF63A5" w:rsidRPr="001265B4">
        <w:rPr>
          <w:rFonts w:asciiTheme="minorHAnsi" w:hAnsiTheme="minorHAnsi" w:cstheme="minorHAnsi"/>
          <w:color w:val="000000"/>
        </w:rPr>
        <w:t>o</w:t>
      </w:r>
      <w:r w:rsidR="00AF63A5">
        <w:rPr>
          <w:rFonts w:asciiTheme="minorHAnsi" w:hAnsiTheme="minorHAnsi" w:cstheme="minorHAnsi"/>
          <w:color w:val="000000"/>
        </w:rPr>
        <w:t>vernmen</w:t>
      </w:r>
      <w:r w:rsidR="00AF63A5" w:rsidRPr="001265B4">
        <w:rPr>
          <w:rFonts w:asciiTheme="minorHAnsi" w:hAnsiTheme="minorHAnsi" w:cstheme="minorHAnsi"/>
          <w:color w:val="000000"/>
        </w:rPr>
        <w:t>t</w:t>
      </w:r>
      <w:r w:rsidR="00AF63A5">
        <w:rPr>
          <w:rFonts w:asciiTheme="minorHAnsi" w:hAnsiTheme="minorHAnsi" w:cstheme="minorHAnsi"/>
          <w:color w:val="000000"/>
        </w:rPr>
        <w:t xml:space="preserve"> Commiss</w:t>
      </w:r>
      <w:r w:rsidR="00AF63A5" w:rsidRPr="001265B4">
        <w:rPr>
          <w:rFonts w:asciiTheme="minorHAnsi" w:hAnsiTheme="minorHAnsi" w:cstheme="minorHAnsi"/>
          <w:color w:val="000000"/>
        </w:rPr>
        <w:t>ion</w:t>
      </w:r>
      <w:r w:rsidR="00AF63A5">
        <w:rPr>
          <w:rFonts w:asciiTheme="minorHAnsi" w:hAnsiTheme="minorHAnsi" w:cstheme="minorHAnsi"/>
          <w:color w:val="000000"/>
        </w:rPr>
        <w:t xml:space="preserve"> </w:t>
      </w:r>
    </w:p>
    <w:p w14:paraId="43637E56" w14:textId="23EA168F" w:rsidR="001F5DAB" w:rsidRPr="001265B4" w:rsidRDefault="001F5DAB" w:rsidP="00AF63A5">
      <w:pPr>
        <w:keepLines w:val="0"/>
        <w:numPr>
          <w:ilvl w:val="2"/>
          <w:numId w:val="37"/>
        </w:numPr>
        <w:spacing w:before="80" w:after="80"/>
        <w:ind w:left="2268" w:hanging="288"/>
        <w:rPr>
          <w:rFonts w:asciiTheme="minorHAnsi" w:hAnsiTheme="minorHAnsi" w:cstheme="minorHAnsi"/>
          <w:color w:val="000000"/>
        </w:rPr>
      </w:pPr>
      <w:proofErr w:type="spellStart"/>
      <w:r>
        <w:rPr>
          <w:rFonts w:asciiTheme="minorHAnsi" w:hAnsiTheme="minorHAnsi" w:cstheme="minorHAnsi"/>
          <w:color w:val="000000"/>
        </w:rPr>
        <w:t>Kaiwaka-Mangawhai</w:t>
      </w:r>
      <w:proofErr w:type="spellEnd"/>
      <w:r>
        <w:rPr>
          <w:rFonts w:asciiTheme="minorHAnsi" w:hAnsiTheme="minorHAnsi" w:cstheme="minorHAnsi"/>
          <w:color w:val="000000"/>
        </w:rPr>
        <w:t xml:space="preserve"> Ward, comprising the area delineated on Plan LG-003-2019-W-4.</w:t>
      </w:r>
    </w:p>
    <w:p w14:paraId="3292DE8B" w14:textId="29CD0AD7" w:rsidR="00AF63A5" w:rsidRPr="0028474A" w:rsidRDefault="00AF63A5" w:rsidP="00AF63A5">
      <w:pPr>
        <w:pStyle w:val="ListParagraph"/>
        <w:keepLines w:val="0"/>
        <w:numPr>
          <w:ilvl w:val="1"/>
          <w:numId w:val="32"/>
        </w:numPr>
        <w:spacing w:after="120"/>
        <w:rPr>
          <w:rFonts w:asciiTheme="minorHAnsi" w:hAnsiTheme="minorHAnsi" w:cs="Arial"/>
        </w:rPr>
      </w:pPr>
      <w:r>
        <w:rPr>
          <w:rFonts w:asciiTheme="minorHAnsi" w:hAnsiTheme="minorHAnsi" w:cstheme="minorHAnsi"/>
          <w:color w:val="000000"/>
        </w:rPr>
        <w:t>T</w:t>
      </w:r>
      <w:r w:rsidRPr="001265B4">
        <w:rPr>
          <w:rFonts w:asciiTheme="minorHAnsi" w:hAnsiTheme="minorHAnsi" w:cstheme="minorHAnsi"/>
          <w:color w:val="000000"/>
        </w:rPr>
        <w:t xml:space="preserve">he </w:t>
      </w:r>
      <w:r>
        <w:rPr>
          <w:rFonts w:asciiTheme="minorHAnsi" w:hAnsiTheme="minorHAnsi" w:cstheme="minorHAnsi"/>
          <w:color w:val="000000"/>
        </w:rPr>
        <w:t>c</w:t>
      </w:r>
      <w:r w:rsidRPr="001265B4">
        <w:rPr>
          <w:rFonts w:asciiTheme="minorHAnsi" w:hAnsiTheme="minorHAnsi" w:cstheme="minorHAnsi"/>
          <w:color w:val="000000"/>
        </w:rPr>
        <w:t xml:space="preserve">ouncil will comprise the mayor and </w:t>
      </w:r>
      <w:r w:rsidR="001F5DAB">
        <w:rPr>
          <w:rFonts w:asciiTheme="minorHAnsi" w:hAnsiTheme="minorHAnsi" w:cstheme="minorHAnsi"/>
          <w:color w:val="000000"/>
        </w:rPr>
        <w:t>8</w:t>
      </w:r>
      <w:r w:rsidRPr="001265B4">
        <w:rPr>
          <w:rFonts w:asciiTheme="minorHAnsi" w:hAnsiTheme="minorHAnsi" w:cstheme="minorHAnsi"/>
          <w:color w:val="000000"/>
        </w:rPr>
        <w:t xml:space="preserve"> councillors elected as follows</w:t>
      </w:r>
      <w:r>
        <w:rPr>
          <w:rFonts w:asciiTheme="minorHAnsi" w:hAnsiTheme="minorHAnsi" w:cstheme="minorHAnsi"/>
          <w:color w:val="000000"/>
        </w:rPr>
        <w:t>:</w:t>
      </w:r>
    </w:p>
    <w:p w14:paraId="3292DE8C" w14:textId="2ADF9D47" w:rsidR="00AF63A5" w:rsidRPr="001265B4" w:rsidRDefault="001F5DAB" w:rsidP="00AF63A5">
      <w:pPr>
        <w:keepLines w:val="0"/>
        <w:numPr>
          <w:ilvl w:val="2"/>
          <w:numId w:val="38"/>
        </w:numPr>
        <w:spacing w:before="80" w:after="80"/>
        <w:ind w:left="2268" w:hanging="288"/>
        <w:rPr>
          <w:rFonts w:asciiTheme="minorHAnsi" w:hAnsiTheme="minorHAnsi" w:cstheme="minorHAnsi"/>
          <w:color w:val="000000"/>
        </w:rPr>
      </w:pPr>
      <w:r>
        <w:rPr>
          <w:rFonts w:asciiTheme="minorHAnsi" w:hAnsiTheme="minorHAnsi" w:cstheme="minorHAnsi"/>
          <w:color w:val="000000"/>
        </w:rPr>
        <w:t>2</w:t>
      </w:r>
      <w:r w:rsidR="00AF63A5" w:rsidRPr="001265B4">
        <w:rPr>
          <w:rFonts w:asciiTheme="minorHAnsi" w:hAnsiTheme="minorHAnsi" w:cstheme="minorHAnsi"/>
          <w:color w:val="000000"/>
        </w:rPr>
        <w:t xml:space="preserve"> councillors elected by the electors of </w:t>
      </w:r>
      <w:proofErr w:type="spellStart"/>
      <w:r>
        <w:rPr>
          <w:rFonts w:asciiTheme="minorHAnsi" w:hAnsiTheme="minorHAnsi" w:cstheme="minorHAnsi"/>
          <w:color w:val="000000"/>
        </w:rPr>
        <w:t>Dargaville</w:t>
      </w:r>
      <w:proofErr w:type="spellEnd"/>
      <w:r w:rsidR="00AF63A5" w:rsidRPr="001265B4">
        <w:rPr>
          <w:rFonts w:asciiTheme="minorHAnsi" w:hAnsiTheme="minorHAnsi" w:cstheme="minorHAnsi"/>
          <w:color w:val="000000"/>
        </w:rPr>
        <w:t xml:space="preserve"> Ward</w:t>
      </w:r>
    </w:p>
    <w:p w14:paraId="3292DE8D" w14:textId="4C5D720D" w:rsidR="00AF63A5" w:rsidRPr="001265B4" w:rsidRDefault="001F5DAB" w:rsidP="00AF63A5">
      <w:pPr>
        <w:keepLines w:val="0"/>
        <w:numPr>
          <w:ilvl w:val="2"/>
          <w:numId w:val="38"/>
        </w:numPr>
        <w:spacing w:before="80" w:after="80"/>
        <w:rPr>
          <w:rFonts w:asciiTheme="minorHAnsi" w:hAnsiTheme="minorHAnsi" w:cstheme="minorHAnsi"/>
          <w:color w:val="000000"/>
        </w:rPr>
      </w:pPr>
      <w:r>
        <w:rPr>
          <w:rFonts w:asciiTheme="minorHAnsi" w:hAnsiTheme="minorHAnsi" w:cstheme="minorHAnsi"/>
          <w:color w:val="000000"/>
        </w:rPr>
        <w:t>2</w:t>
      </w:r>
      <w:r w:rsidR="00AF63A5" w:rsidRPr="001265B4">
        <w:rPr>
          <w:rFonts w:asciiTheme="minorHAnsi" w:hAnsiTheme="minorHAnsi" w:cstheme="minorHAnsi"/>
          <w:color w:val="000000"/>
        </w:rPr>
        <w:t xml:space="preserve"> councillor</w:t>
      </w:r>
      <w:r w:rsidR="00AF63A5">
        <w:rPr>
          <w:rFonts w:asciiTheme="minorHAnsi" w:hAnsiTheme="minorHAnsi" w:cstheme="minorHAnsi"/>
          <w:color w:val="000000"/>
        </w:rPr>
        <w:t>s</w:t>
      </w:r>
      <w:r w:rsidR="00AF63A5" w:rsidRPr="001265B4">
        <w:rPr>
          <w:rFonts w:asciiTheme="minorHAnsi" w:hAnsiTheme="minorHAnsi" w:cstheme="minorHAnsi"/>
          <w:color w:val="000000"/>
        </w:rPr>
        <w:t xml:space="preserve"> elected by the electors of </w:t>
      </w:r>
      <w:r>
        <w:rPr>
          <w:rFonts w:asciiTheme="minorHAnsi" w:hAnsiTheme="minorHAnsi" w:cstheme="minorHAnsi"/>
          <w:color w:val="000000"/>
        </w:rPr>
        <w:t>West Coast-Central</w:t>
      </w:r>
      <w:r w:rsidR="00AF63A5" w:rsidRPr="001265B4">
        <w:rPr>
          <w:rFonts w:asciiTheme="minorHAnsi" w:hAnsiTheme="minorHAnsi" w:cstheme="minorHAnsi"/>
          <w:color w:val="000000"/>
        </w:rPr>
        <w:t xml:space="preserve"> Ward</w:t>
      </w:r>
    </w:p>
    <w:p w14:paraId="3292DE8E" w14:textId="50A34919" w:rsidR="00AF63A5" w:rsidRDefault="001F5DAB" w:rsidP="00AF63A5">
      <w:pPr>
        <w:keepLines w:val="0"/>
        <w:numPr>
          <w:ilvl w:val="2"/>
          <w:numId w:val="38"/>
        </w:numPr>
        <w:spacing w:before="80" w:after="80"/>
        <w:ind w:left="2268" w:hanging="288"/>
        <w:rPr>
          <w:rFonts w:asciiTheme="minorHAnsi" w:hAnsiTheme="minorHAnsi" w:cstheme="minorHAnsi"/>
          <w:color w:val="000000"/>
        </w:rPr>
      </w:pPr>
      <w:r>
        <w:rPr>
          <w:rFonts w:asciiTheme="minorHAnsi" w:hAnsiTheme="minorHAnsi" w:cstheme="minorHAnsi"/>
          <w:color w:val="000000"/>
        </w:rPr>
        <w:t>2</w:t>
      </w:r>
      <w:r w:rsidR="00AF63A5" w:rsidRPr="001265B4">
        <w:rPr>
          <w:rFonts w:asciiTheme="minorHAnsi" w:hAnsiTheme="minorHAnsi" w:cstheme="minorHAnsi"/>
          <w:color w:val="000000"/>
        </w:rPr>
        <w:t xml:space="preserve"> councillor</w:t>
      </w:r>
      <w:r w:rsidR="00AF63A5">
        <w:rPr>
          <w:rFonts w:asciiTheme="minorHAnsi" w:hAnsiTheme="minorHAnsi" w:cstheme="minorHAnsi"/>
          <w:color w:val="000000"/>
        </w:rPr>
        <w:t>s</w:t>
      </w:r>
      <w:r w:rsidR="00AF63A5" w:rsidRPr="001265B4">
        <w:rPr>
          <w:rFonts w:asciiTheme="minorHAnsi" w:hAnsiTheme="minorHAnsi" w:cstheme="minorHAnsi"/>
          <w:color w:val="000000"/>
        </w:rPr>
        <w:t xml:space="preserve"> elected by the electors of </w:t>
      </w:r>
      <w:proofErr w:type="spellStart"/>
      <w:r>
        <w:rPr>
          <w:rFonts w:asciiTheme="minorHAnsi" w:hAnsiTheme="minorHAnsi" w:cstheme="minorHAnsi"/>
          <w:color w:val="000000"/>
        </w:rPr>
        <w:t>Otamatea</w:t>
      </w:r>
      <w:proofErr w:type="spellEnd"/>
      <w:r w:rsidR="00AF63A5" w:rsidRPr="001265B4">
        <w:rPr>
          <w:rFonts w:asciiTheme="minorHAnsi" w:hAnsiTheme="minorHAnsi" w:cstheme="minorHAnsi"/>
          <w:color w:val="000000"/>
        </w:rPr>
        <w:t xml:space="preserve"> Ward</w:t>
      </w:r>
    </w:p>
    <w:p w14:paraId="233813F5" w14:textId="4E1E6D62" w:rsidR="001F5DAB" w:rsidRPr="001265B4" w:rsidRDefault="001F5DAB" w:rsidP="00AF63A5">
      <w:pPr>
        <w:keepLines w:val="0"/>
        <w:numPr>
          <w:ilvl w:val="2"/>
          <w:numId w:val="38"/>
        </w:numPr>
        <w:spacing w:before="80" w:after="80"/>
        <w:ind w:left="2268" w:hanging="288"/>
        <w:rPr>
          <w:rFonts w:asciiTheme="minorHAnsi" w:hAnsiTheme="minorHAnsi" w:cstheme="minorHAnsi"/>
          <w:color w:val="000000"/>
        </w:rPr>
      </w:pPr>
      <w:r>
        <w:rPr>
          <w:rFonts w:asciiTheme="minorHAnsi" w:hAnsiTheme="minorHAnsi" w:cstheme="minorHAnsi"/>
          <w:color w:val="000000"/>
        </w:rPr>
        <w:t xml:space="preserve">2 councillors elected by the electors of </w:t>
      </w:r>
      <w:proofErr w:type="spellStart"/>
      <w:r>
        <w:rPr>
          <w:rFonts w:asciiTheme="minorHAnsi" w:hAnsiTheme="minorHAnsi" w:cstheme="minorHAnsi"/>
          <w:color w:val="000000"/>
        </w:rPr>
        <w:t>Kaiwaka-Mangawhai</w:t>
      </w:r>
      <w:proofErr w:type="spellEnd"/>
      <w:r>
        <w:rPr>
          <w:rFonts w:asciiTheme="minorHAnsi" w:hAnsiTheme="minorHAnsi" w:cstheme="minorHAnsi"/>
          <w:color w:val="000000"/>
        </w:rPr>
        <w:t xml:space="preserve"> Ward.</w:t>
      </w:r>
    </w:p>
    <w:p w14:paraId="3292DE9B" w14:textId="2C3D97BE" w:rsidR="00AF63A5" w:rsidRPr="008079BB" w:rsidRDefault="00AF63A5" w:rsidP="00AF63A5">
      <w:pPr>
        <w:pStyle w:val="ListParagraph"/>
        <w:keepLines w:val="0"/>
        <w:numPr>
          <w:ilvl w:val="0"/>
          <w:numId w:val="25"/>
        </w:numPr>
        <w:spacing w:after="120"/>
        <w:ind w:left="567" w:hanging="567"/>
        <w:rPr>
          <w:rFonts w:asciiTheme="minorHAnsi" w:hAnsiTheme="minorHAnsi" w:cs="Arial"/>
        </w:rPr>
      </w:pPr>
      <w:r>
        <w:rPr>
          <w:rFonts w:asciiTheme="minorHAnsi" w:hAnsiTheme="minorHAnsi" w:cstheme="minorHAnsi"/>
          <w:color w:val="000000"/>
        </w:rPr>
        <w:t>As required by sections</w:t>
      </w:r>
      <w:r w:rsidRPr="001265B4">
        <w:rPr>
          <w:rFonts w:asciiTheme="minorHAnsi" w:hAnsiTheme="minorHAnsi" w:cstheme="minorHAnsi"/>
          <w:color w:val="000000"/>
        </w:rPr>
        <w:t xml:space="preserve"> 19T(b) of the Local Electoral Act 2001, the boundaries of the above wards</w:t>
      </w:r>
      <w:r>
        <w:rPr>
          <w:rFonts w:asciiTheme="minorHAnsi" w:hAnsiTheme="minorHAnsi" w:cstheme="minorHAnsi"/>
          <w:color w:val="000000"/>
        </w:rPr>
        <w:t xml:space="preserve"> </w:t>
      </w:r>
      <w:r w:rsidRPr="001265B4">
        <w:rPr>
          <w:rFonts w:asciiTheme="minorHAnsi" w:hAnsiTheme="minorHAnsi" w:cstheme="minorHAnsi"/>
          <w:color w:val="000000"/>
        </w:rPr>
        <w:t xml:space="preserve">coincide with the boundaries of current statistical </w:t>
      </w:r>
      <w:proofErr w:type="spellStart"/>
      <w:r w:rsidRPr="001265B4">
        <w:rPr>
          <w:rFonts w:asciiTheme="minorHAnsi" w:hAnsiTheme="minorHAnsi" w:cstheme="minorHAnsi"/>
          <w:color w:val="000000"/>
        </w:rPr>
        <w:t>meshblock</w:t>
      </w:r>
      <w:proofErr w:type="spellEnd"/>
      <w:r w:rsidRPr="001265B4">
        <w:rPr>
          <w:rFonts w:asciiTheme="minorHAnsi" w:hAnsiTheme="minorHAnsi" w:cstheme="minorHAnsi"/>
          <w:color w:val="000000"/>
        </w:rPr>
        <w:t xml:space="preserve"> areas determined by Statistics New Zealand and used for </w:t>
      </w:r>
      <w:r>
        <w:rPr>
          <w:rFonts w:asciiTheme="minorHAnsi" w:hAnsiTheme="minorHAnsi" w:cstheme="minorHAnsi"/>
          <w:color w:val="000000"/>
        </w:rPr>
        <w:t>p</w:t>
      </w:r>
      <w:r w:rsidRPr="001265B4">
        <w:rPr>
          <w:rFonts w:asciiTheme="minorHAnsi" w:hAnsiTheme="minorHAnsi" w:cstheme="minorHAnsi"/>
          <w:color w:val="000000"/>
        </w:rPr>
        <w:t>arliamentary electoral purposes</w:t>
      </w:r>
      <w:r>
        <w:rPr>
          <w:rFonts w:asciiTheme="minorHAnsi" w:hAnsiTheme="minorHAnsi" w:cstheme="minorHAnsi"/>
          <w:color w:val="000000"/>
        </w:rPr>
        <w:t>.</w:t>
      </w:r>
    </w:p>
    <w:p w14:paraId="5ABD0A84" w14:textId="77777777" w:rsidR="00E543A2" w:rsidRDefault="00E543A2">
      <w:pPr>
        <w:keepLines w:val="0"/>
        <w:rPr>
          <w:rFonts w:asciiTheme="minorHAnsi" w:hAnsiTheme="minorHAnsi" w:cstheme="minorHAnsi"/>
          <w:b/>
          <w:bCs/>
          <w:iCs/>
          <w:color w:val="1F546B"/>
        </w:rPr>
      </w:pPr>
      <w:r>
        <w:rPr>
          <w:rFonts w:asciiTheme="minorHAnsi" w:hAnsiTheme="minorHAnsi" w:cstheme="minorHAnsi"/>
        </w:rPr>
        <w:br w:type="page"/>
      </w:r>
      <w:bookmarkStart w:id="0" w:name="_GoBack"/>
      <w:bookmarkEnd w:id="0"/>
    </w:p>
    <w:p w14:paraId="3292DE9C" w14:textId="7501A252" w:rsidR="00AF63A5" w:rsidRPr="002B3CA8" w:rsidRDefault="00AF63A5" w:rsidP="00AF63A5">
      <w:pPr>
        <w:pStyle w:val="Heading2"/>
        <w:spacing w:before="0" w:after="0"/>
        <w:jc w:val="both"/>
        <w:rPr>
          <w:rFonts w:asciiTheme="minorHAnsi" w:hAnsiTheme="minorHAnsi" w:cstheme="minorHAnsi"/>
          <w:sz w:val="24"/>
          <w:szCs w:val="24"/>
        </w:rPr>
      </w:pPr>
      <w:r w:rsidRPr="002B3CA8">
        <w:rPr>
          <w:rFonts w:asciiTheme="minorHAnsi" w:hAnsiTheme="minorHAnsi" w:cstheme="minorHAnsi"/>
          <w:sz w:val="24"/>
          <w:szCs w:val="24"/>
        </w:rPr>
        <w:t>LOCAL GOVERNMENT COMMISSION</w:t>
      </w:r>
    </w:p>
    <w:p w14:paraId="3292DE9D" w14:textId="77777777" w:rsidR="00AF63A5" w:rsidRDefault="00AF63A5" w:rsidP="00AF63A5"/>
    <w:p w14:paraId="3292DE9E" w14:textId="77777777" w:rsidR="00AF63A5" w:rsidRPr="00C14D2F" w:rsidRDefault="00AF63A5" w:rsidP="00AF63A5">
      <w:pPr>
        <w:spacing w:after="120"/>
        <w:rPr>
          <w:rFonts w:cstheme="minorHAnsi"/>
        </w:rPr>
      </w:pPr>
      <w:r>
        <w:rPr>
          <w:rFonts w:cstheme="minorHAnsi"/>
          <w:noProof/>
          <w:lang w:eastAsia="en-NZ"/>
        </w:rPr>
        <w:drawing>
          <wp:inline distT="0" distB="0" distL="0" distR="0" wp14:anchorId="3292DEAE" wp14:editId="3292DEAF">
            <wp:extent cx="2705100" cy="115862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JPG"/>
                    <pic:cNvPicPr/>
                  </pic:nvPicPr>
                  <pic:blipFill>
                    <a:blip r:embed="rId9">
                      <a:extLst>
                        <a:ext uri="{28A0092B-C50C-407E-A947-70E740481C1C}">
                          <a14:useLocalDpi xmlns:a14="http://schemas.microsoft.com/office/drawing/2010/main" val="0"/>
                        </a:ext>
                      </a:extLst>
                    </a:blip>
                    <a:stretch>
                      <a:fillRect/>
                    </a:stretch>
                  </pic:blipFill>
                  <pic:spPr>
                    <a:xfrm>
                      <a:off x="0" y="0"/>
                      <a:ext cx="2705100" cy="1158627"/>
                    </a:xfrm>
                    <a:prstGeom prst="rect">
                      <a:avLst/>
                    </a:prstGeom>
                  </pic:spPr>
                </pic:pic>
              </a:graphicData>
            </a:graphic>
          </wp:inline>
        </w:drawing>
      </w:r>
    </w:p>
    <w:p w14:paraId="3292DE9F" w14:textId="77777777" w:rsidR="00AF63A5" w:rsidRPr="00C14D2F" w:rsidRDefault="00AF63A5" w:rsidP="00AF63A5">
      <w:pPr>
        <w:spacing w:after="120"/>
        <w:rPr>
          <w:rFonts w:cstheme="minorHAnsi"/>
        </w:rPr>
      </w:pPr>
      <w:r>
        <w:rPr>
          <w:rFonts w:cstheme="minorHAnsi"/>
        </w:rPr>
        <w:t xml:space="preserve">Commissioner </w:t>
      </w:r>
      <w:r w:rsidRPr="00C14D2F">
        <w:rPr>
          <w:rFonts w:cstheme="minorHAnsi"/>
        </w:rPr>
        <w:t>Pita Paraone (Chairperson)</w:t>
      </w:r>
    </w:p>
    <w:p w14:paraId="3292DEA0" w14:textId="77777777" w:rsidR="00AF63A5" w:rsidRDefault="00AF63A5" w:rsidP="00AF63A5"/>
    <w:p w14:paraId="3292DEA1" w14:textId="77777777" w:rsidR="00AF63A5" w:rsidRPr="00971DCA" w:rsidRDefault="00AF63A5" w:rsidP="00AF63A5">
      <w:r>
        <w:rPr>
          <w:noProof/>
          <w:lang w:eastAsia="en-NZ"/>
        </w:rPr>
        <w:drawing>
          <wp:inline distT="0" distB="0" distL="0" distR="0" wp14:anchorId="3292DEB0" wp14:editId="3292DEB1">
            <wp:extent cx="2898015" cy="12582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ie.PNG"/>
                    <pic:cNvPicPr/>
                  </pic:nvPicPr>
                  <pic:blipFill>
                    <a:blip r:embed="rId10">
                      <a:extLst>
                        <a:ext uri="{28A0092B-C50C-407E-A947-70E740481C1C}">
                          <a14:useLocalDpi xmlns:a14="http://schemas.microsoft.com/office/drawing/2010/main" val="0"/>
                        </a:ext>
                      </a:extLst>
                    </a:blip>
                    <a:stretch>
                      <a:fillRect/>
                    </a:stretch>
                  </pic:blipFill>
                  <pic:spPr>
                    <a:xfrm>
                      <a:off x="0" y="0"/>
                      <a:ext cx="2907754" cy="1262442"/>
                    </a:xfrm>
                    <a:prstGeom prst="rect">
                      <a:avLst/>
                    </a:prstGeom>
                  </pic:spPr>
                </pic:pic>
              </a:graphicData>
            </a:graphic>
          </wp:inline>
        </w:drawing>
      </w:r>
    </w:p>
    <w:p w14:paraId="3292DEA2" w14:textId="77777777" w:rsidR="00AF63A5" w:rsidRDefault="00AF63A5" w:rsidP="00AF63A5">
      <w:pPr>
        <w:spacing w:before="0" w:after="0"/>
        <w:rPr>
          <w:rFonts w:asciiTheme="minorHAnsi" w:hAnsiTheme="minorHAnsi" w:cstheme="minorHAnsi"/>
        </w:rPr>
      </w:pPr>
      <w:r w:rsidRPr="001265B4">
        <w:rPr>
          <w:rFonts w:asciiTheme="minorHAnsi" w:hAnsiTheme="minorHAnsi" w:cstheme="minorHAnsi"/>
        </w:rPr>
        <w:t xml:space="preserve">Commissioner Janie Annear </w:t>
      </w:r>
    </w:p>
    <w:p w14:paraId="3292DEA3" w14:textId="77777777" w:rsidR="00AF63A5" w:rsidRPr="001265B4" w:rsidRDefault="00AF63A5" w:rsidP="00AF63A5">
      <w:pPr>
        <w:spacing w:before="0" w:after="0"/>
        <w:rPr>
          <w:rFonts w:asciiTheme="minorHAnsi" w:hAnsiTheme="minorHAnsi" w:cstheme="minorHAnsi"/>
        </w:rPr>
      </w:pPr>
    </w:p>
    <w:p w14:paraId="3292DEA4" w14:textId="77777777" w:rsidR="00AF63A5" w:rsidRPr="001265B4" w:rsidRDefault="00AF63A5" w:rsidP="00AF63A5">
      <w:pPr>
        <w:spacing w:before="0" w:after="0"/>
        <w:rPr>
          <w:rFonts w:asciiTheme="minorHAnsi" w:hAnsiTheme="minorHAnsi" w:cstheme="minorHAnsi"/>
        </w:rPr>
      </w:pPr>
    </w:p>
    <w:p w14:paraId="3292DEA5" w14:textId="77777777" w:rsidR="00AF63A5" w:rsidRDefault="00AF63A5" w:rsidP="00AF63A5">
      <w:pPr>
        <w:spacing w:before="0" w:after="0"/>
        <w:rPr>
          <w:rFonts w:asciiTheme="minorHAnsi" w:hAnsiTheme="minorHAnsi" w:cstheme="minorHAnsi"/>
        </w:rPr>
      </w:pPr>
      <w:r>
        <w:rPr>
          <w:noProof/>
          <w:lang w:eastAsia="en-NZ"/>
        </w:rPr>
        <w:drawing>
          <wp:inline distT="0" distB="0" distL="0" distR="0" wp14:anchorId="3292DEB2" wp14:editId="3292DEB3">
            <wp:extent cx="3528850" cy="13167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998" cy="1317538"/>
                    </a:xfrm>
                    <a:prstGeom prst="rect">
                      <a:avLst/>
                    </a:prstGeom>
                    <a:noFill/>
                    <a:ln>
                      <a:noFill/>
                    </a:ln>
                  </pic:spPr>
                </pic:pic>
              </a:graphicData>
            </a:graphic>
          </wp:inline>
        </w:drawing>
      </w:r>
    </w:p>
    <w:p w14:paraId="3292DEA6" w14:textId="77777777" w:rsidR="00AF63A5" w:rsidRPr="001265B4" w:rsidRDefault="00AF63A5" w:rsidP="00AF63A5">
      <w:pPr>
        <w:spacing w:before="0" w:after="0"/>
        <w:rPr>
          <w:rFonts w:asciiTheme="minorHAnsi" w:hAnsiTheme="minorHAnsi" w:cstheme="minorHAnsi"/>
        </w:rPr>
      </w:pPr>
      <w:r w:rsidRPr="001265B4">
        <w:rPr>
          <w:rFonts w:asciiTheme="minorHAnsi" w:hAnsiTheme="minorHAnsi" w:cstheme="minorHAnsi"/>
        </w:rPr>
        <w:t>Commissioner Brendan Duffy</w:t>
      </w:r>
    </w:p>
    <w:p w14:paraId="3292DEA7" w14:textId="77777777" w:rsidR="00AF63A5" w:rsidRPr="001265B4" w:rsidRDefault="00AF63A5" w:rsidP="00AF63A5">
      <w:pPr>
        <w:spacing w:before="0" w:after="0"/>
        <w:rPr>
          <w:rFonts w:asciiTheme="minorHAnsi" w:hAnsiTheme="minorHAnsi" w:cstheme="minorHAnsi"/>
        </w:rPr>
      </w:pPr>
    </w:p>
    <w:p w14:paraId="3292DEA8" w14:textId="77777777" w:rsidR="00AF63A5" w:rsidRPr="003F2245" w:rsidRDefault="00AF63A5" w:rsidP="00AF63A5">
      <w:pPr>
        <w:spacing w:before="0" w:after="0"/>
        <w:rPr>
          <w:rFonts w:asciiTheme="minorHAnsi" w:hAnsiTheme="minorHAnsi" w:cstheme="minorHAnsi"/>
        </w:rPr>
      </w:pPr>
      <w:r>
        <w:rPr>
          <w:rFonts w:asciiTheme="minorHAnsi" w:hAnsiTheme="minorHAnsi" w:cstheme="minorHAnsi"/>
        </w:rPr>
        <w:t>8 April</w:t>
      </w:r>
      <w:r w:rsidRPr="001265B4">
        <w:rPr>
          <w:rFonts w:asciiTheme="minorHAnsi" w:hAnsiTheme="minorHAnsi" w:cstheme="minorHAnsi"/>
        </w:rPr>
        <w:t xml:space="preserve"> 201</w:t>
      </w:r>
      <w:r>
        <w:rPr>
          <w:rFonts w:asciiTheme="minorHAnsi" w:hAnsiTheme="minorHAnsi" w:cstheme="minorHAnsi"/>
        </w:rPr>
        <w:t>9</w:t>
      </w:r>
    </w:p>
    <w:p w14:paraId="3292DEA9" w14:textId="77777777" w:rsidR="00AF63A5" w:rsidRPr="00603635" w:rsidRDefault="00AF63A5" w:rsidP="00AF63A5"/>
    <w:p w14:paraId="3292DEAA" w14:textId="77777777" w:rsidR="00AF63A5" w:rsidRPr="00603635" w:rsidRDefault="00AF63A5" w:rsidP="00AF63A5"/>
    <w:p w14:paraId="3292DEAB" w14:textId="77777777" w:rsidR="00AE478C" w:rsidRPr="00603635" w:rsidRDefault="00AE478C" w:rsidP="00603635"/>
    <w:sectPr w:rsidR="00AE478C" w:rsidRPr="00603635" w:rsidSect="00CF4B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2DEB9" w14:textId="77777777" w:rsidR="00AF63A5" w:rsidRDefault="00AF63A5">
      <w:r>
        <w:separator/>
      </w:r>
    </w:p>
    <w:p w14:paraId="3292DEBA" w14:textId="77777777" w:rsidR="00AF63A5" w:rsidRDefault="00AF63A5"/>
    <w:p w14:paraId="3292DEBB" w14:textId="77777777" w:rsidR="00AF63A5" w:rsidRDefault="00AF63A5"/>
  </w:endnote>
  <w:endnote w:type="continuationSeparator" w:id="0">
    <w:p w14:paraId="3292DEBC" w14:textId="77777777" w:rsidR="00AF63A5" w:rsidRDefault="00AF63A5">
      <w:r>
        <w:continuationSeparator/>
      </w:r>
    </w:p>
    <w:p w14:paraId="3292DEBD" w14:textId="77777777" w:rsidR="00AF63A5" w:rsidRDefault="00AF63A5"/>
    <w:p w14:paraId="3292DEBE" w14:textId="77777777" w:rsidR="00AF63A5" w:rsidRDefault="00AF6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DEC1"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DEC2"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DEC4"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2DEB4" w14:textId="77777777" w:rsidR="00AF63A5" w:rsidRDefault="00AF63A5" w:rsidP="00FB1990">
      <w:pPr>
        <w:pStyle w:val="Spacer"/>
      </w:pPr>
      <w:r>
        <w:separator/>
      </w:r>
    </w:p>
    <w:p w14:paraId="3292DEB5" w14:textId="77777777" w:rsidR="00AF63A5" w:rsidRDefault="00AF63A5" w:rsidP="00FB1990">
      <w:pPr>
        <w:pStyle w:val="Spacer"/>
      </w:pPr>
    </w:p>
  </w:footnote>
  <w:footnote w:type="continuationSeparator" w:id="0">
    <w:p w14:paraId="3292DEB6" w14:textId="77777777" w:rsidR="00AF63A5" w:rsidRDefault="00AF63A5">
      <w:r>
        <w:continuationSeparator/>
      </w:r>
    </w:p>
    <w:p w14:paraId="3292DEB7" w14:textId="77777777" w:rsidR="00AF63A5" w:rsidRDefault="00AF63A5"/>
    <w:p w14:paraId="3292DEB8" w14:textId="77777777" w:rsidR="00AF63A5" w:rsidRDefault="00AF63A5"/>
  </w:footnote>
  <w:footnote w:id="1">
    <w:p w14:paraId="1F87D279" w14:textId="7F36FE41" w:rsidR="00AF354D" w:rsidRDefault="00AF354D">
      <w:pPr>
        <w:pStyle w:val="FootnoteText"/>
      </w:pPr>
      <w:r>
        <w:rPr>
          <w:rStyle w:val="FootnoteReference"/>
        </w:rPr>
        <w:footnoteRef/>
      </w:r>
      <w:r>
        <w:t xml:space="preserve"> On 6 September 2012, the Minister of Local Government appointed four commissioners to perform and exercise the responsibilities, duties and powers of the Kaipara District Council. The Gazette notice of these appointments advised that the October 2013 triennial elections of the council were </w:t>
      </w:r>
      <w:proofErr w:type="gramStart"/>
      <w:r>
        <w:t>cancelled</w:t>
      </w:r>
      <w:proofErr w:type="gramEnd"/>
      <w:r>
        <w:t xml:space="preserve"> and the next general election of the council would be held on 17 October 2015. The Commission’s determination was therefore to apply to those elections. Subsequently, the 2015 election was not held with the next election held at the time of the 2016 triennial local authority elections.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DEBF"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DEC0"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DEC3"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2A3B49"/>
    <w:multiLevelType w:val="hybridMultilevel"/>
    <w:tmpl w:val="23FA7414"/>
    <w:lvl w:ilvl="0" w:tplc="14090001">
      <w:start w:val="1"/>
      <w:numFmt w:val="bullet"/>
      <w:lvlText w:val=""/>
      <w:lvlJc w:val="left"/>
      <w:pPr>
        <w:ind w:left="1287" w:hanging="360"/>
      </w:pPr>
      <w:rPr>
        <w:rFonts w:ascii="Symbol" w:hAnsi="Symbol" w:hint="default"/>
      </w:rPr>
    </w:lvl>
    <w:lvl w:ilvl="1" w:tplc="14090001">
      <w:start w:val="1"/>
      <w:numFmt w:val="bullet"/>
      <w:lvlText w:val=""/>
      <w:lvlJc w:val="left"/>
      <w:pPr>
        <w:ind w:left="2007" w:hanging="360"/>
      </w:pPr>
      <w:rPr>
        <w:rFonts w:ascii="Symbol" w:hAnsi="Symbol" w:hint="default"/>
      </w:rPr>
    </w:lvl>
    <w:lvl w:ilvl="2" w:tplc="1409001B">
      <w:start w:val="1"/>
      <w:numFmt w:val="lowerRoman"/>
      <w:lvlText w:val="%3."/>
      <w:lvlJc w:val="right"/>
      <w:pPr>
        <w:ind w:left="2727" w:hanging="180"/>
      </w:pPr>
    </w:lvl>
    <w:lvl w:ilvl="3" w:tplc="1409000F">
      <w:start w:val="1"/>
      <w:numFmt w:val="decimal"/>
      <w:lvlText w:val="%4."/>
      <w:lvlJc w:val="left"/>
      <w:pPr>
        <w:ind w:left="3447" w:hanging="360"/>
      </w:pPr>
    </w:lvl>
    <w:lvl w:ilvl="4" w:tplc="14090019">
      <w:start w:val="1"/>
      <w:numFmt w:val="lowerLetter"/>
      <w:lvlText w:val="%5."/>
      <w:lvlJc w:val="left"/>
      <w:pPr>
        <w:ind w:left="4167" w:hanging="360"/>
      </w:pPr>
    </w:lvl>
    <w:lvl w:ilvl="5" w:tplc="1409001B">
      <w:start w:val="1"/>
      <w:numFmt w:val="lowerRoman"/>
      <w:lvlText w:val="%6."/>
      <w:lvlJc w:val="right"/>
      <w:pPr>
        <w:ind w:left="4887" w:hanging="180"/>
      </w:pPr>
    </w:lvl>
    <w:lvl w:ilvl="6" w:tplc="1409000F">
      <w:start w:val="1"/>
      <w:numFmt w:val="decimal"/>
      <w:lvlText w:val="%7."/>
      <w:lvlJc w:val="left"/>
      <w:pPr>
        <w:ind w:left="5607" w:hanging="360"/>
      </w:pPr>
    </w:lvl>
    <w:lvl w:ilvl="7" w:tplc="14090019">
      <w:start w:val="1"/>
      <w:numFmt w:val="lowerLetter"/>
      <w:lvlText w:val="%8."/>
      <w:lvlJc w:val="left"/>
      <w:pPr>
        <w:ind w:left="6327" w:hanging="360"/>
      </w:pPr>
    </w:lvl>
    <w:lvl w:ilvl="8" w:tplc="1409001B">
      <w:start w:val="1"/>
      <w:numFmt w:val="lowerRoman"/>
      <w:lvlText w:val="%9."/>
      <w:lvlJc w:val="right"/>
      <w:pPr>
        <w:ind w:left="7047" w:hanging="180"/>
      </w:pPr>
    </w:lvl>
  </w:abstractNum>
  <w:abstractNum w:abstractNumId="7" w15:restartNumberingAfterBreak="0">
    <w:nsid w:val="028D11D8"/>
    <w:multiLevelType w:val="hybridMultilevel"/>
    <w:tmpl w:val="9CBE9444"/>
    <w:lvl w:ilvl="0" w:tplc="14090001">
      <w:start w:val="1"/>
      <w:numFmt w:val="bullet"/>
      <w:lvlText w:val=""/>
      <w:lvlJc w:val="left"/>
      <w:pPr>
        <w:ind w:left="1494" w:hanging="360"/>
      </w:pPr>
      <w:rPr>
        <w:rFonts w:ascii="Symbol" w:hAnsi="Symbol" w:hint="default"/>
      </w:rPr>
    </w:lvl>
    <w:lvl w:ilvl="1" w:tplc="14090019">
      <w:start w:val="1"/>
      <w:numFmt w:val="lowerLetter"/>
      <w:lvlText w:val="%2."/>
      <w:lvlJc w:val="left"/>
      <w:pPr>
        <w:ind w:left="2214" w:hanging="360"/>
      </w:pPr>
    </w:lvl>
    <w:lvl w:ilvl="2" w:tplc="1409001B">
      <w:start w:val="1"/>
      <w:numFmt w:val="lowerRoman"/>
      <w:lvlText w:val="%3."/>
      <w:lvlJc w:val="right"/>
      <w:pPr>
        <w:ind w:left="2934" w:hanging="180"/>
      </w:pPr>
    </w:lvl>
    <w:lvl w:ilvl="3" w:tplc="1409000F">
      <w:start w:val="1"/>
      <w:numFmt w:val="decimal"/>
      <w:lvlText w:val="%4."/>
      <w:lvlJc w:val="left"/>
      <w:pPr>
        <w:ind w:left="3654" w:hanging="360"/>
      </w:pPr>
    </w:lvl>
    <w:lvl w:ilvl="4" w:tplc="14090019">
      <w:start w:val="1"/>
      <w:numFmt w:val="lowerLetter"/>
      <w:lvlText w:val="%5."/>
      <w:lvlJc w:val="left"/>
      <w:pPr>
        <w:ind w:left="4374" w:hanging="360"/>
      </w:pPr>
    </w:lvl>
    <w:lvl w:ilvl="5" w:tplc="1409001B">
      <w:start w:val="1"/>
      <w:numFmt w:val="lowerRoman"/>
      <w:lvlText w:val="%6."/>
      <w:lvlJc w:val="right"/>
      <w:pPr>
        <w:ind w:left="5094" w:hanging="180"/>
      </w:pPr>
    </w:lvl>
    <w:lvl w:ilvl="6" w:tplc="1409000F">
      <w:start w:val="1"/>
      <w:numFmt w:val="decimal"/>
      <w:lvlText w:val="%7."/>
      <w:lvlJc w:val="left"/>
      <w:pPr>
        <w:ind w:left="5814" w:hanging="360"/>
      </w:pPr>
    </w:lvl>
    <w:lvl w:ilvl="7" w:tplc="14090019">
      <w:start w:val="1"/>
      <w:numFmt w:val="lowerLetter"/>
      <w:lvlText w:val="%8."/>
      <w:lvlJc w:val="left"/>
      <w:pPr>
        <w:ind w:left="6534" w:hanging="360"/>
      </w:pPr>
    </w:lvl>
    <w:lvl w:ilvl="8" w:tplc="1409001B">
      <w:start w:val="1"/>
      <w:numFmt w:val="lowerRoman"/>
      <w:lvlText w:val="%9."/>
      <w:lvlJc w:val="right"/>
      <w:pPr>
        <w:ind w:left="7254" w:hanging="180"/>
      </w:pPr>
    </w:lvl>
  </w:abstractNum>
  <w:abstractNum w:abstractNumId="8"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51B07E7"/>
    <w:multiLevelType w:val="hybridMultilevel"/>
    <w:tmpl w:val="A684A34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9E6425D"/>
    <w:multiLevelType w:val="hybridMultilevel"/>
    <w:tmpl w:val="4302F6FC"/>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28A0FA7"/>
    <w:multiLevelType w:val="hybridMultilevel"/>
    <w:tmpl w:val="66AC3DD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33C37886"/>
    <w:multiLevelType w:val="hybridMultilevel"/>
    <w:tmpl w:val="0432686C"/>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7">
      <w:start w:val="1"/>
      <w:numFmt w:val="lowerLetter"/>
      <w:lvlText w:val="%3)"/>
      <w:lvlJc w:val="left"/>
      <w:pPr>
        <w:ind w:left="3780" w:hanging="180"/>
      </w:pPr>
    </w:lvl>
    <w:lvl w:ilvl="3" w:tplc="1409000F">
      <w:start w:val="1"/>
      <w:numFmt w:val="decimal"/>
      <w:lvlText w:val="%4."/>
      <w:lvlJc w:val="left"/>
      <w:pPr>
        <w:ind w:left="2629"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abstractNum w:abstractNumId="18" w15:restartNumberingAfterBreak="0">
    <w:nsid w:val="3495023E"/>
    <w:multiLevelType w:val="hybridMultilevel"/>
    <w:tmpl w:val="81F868C6"/>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7">
      <w:start w:val="1"/>
      <w:numFmt w:val="lowerLetter"/>
      <w:lvlText w:val="%3)"/>
      <w:lvlJc w:val="lef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4827C61"/>
    <w:multiLevelType w:val="hybridMultilevel"/>
    <w:tmpl w:val="F66AF136"/>
    <w:lvl w:ilvl="0" w:tplc="158C0B2A">
      <w:start w:val="1"/>
      <w:numFmt w:val="decimal"/>
      <w:lvlText w:val="%1."/>
      <w:lvlJc w:val="left"/>
      <w:pPr>
        <w:ind w:left="360" w:hanging="360"/>
      </w:pPr>
      <w:rPr>
        <w:b w:val="0"/>
        <w:i w:val="0"/>
      </w:rPr>
    </w:lvl>
    <w:lvl w:ilvl="1" w:tplc="14090001">
      <w:start w:val="1"/>
      <w:numFmt w:val="bullet"/>
      <w:lvlText w:val=""/>
      <w:lvlJc w:val="left"/>
      <w:pPr>
        <w:ind w:left="1080" w:hanging="360"/>
      </w:pPr>
      <w:rPr>
        <w:rFonts w:ascii="Symbol" w:hAnsi="Symbol" w:hint="default"/>
        <w:b w:val="0"/>
      </w:rPr>
    </w:lvl>
    <w:lvl w:ilvl="2" w:tplc="14090003">
      <w:start w:val="1"/>
      <w:numFmt w:val="bullet"/>
      <w:lvlText w:val="o"/>
      <w:lvlJc w:val="left"/>
      <w:pPr>
        <w:ind w:left="1800" w:hanging="180"/>
      </w:pPr>
      <w:rPr>
        <w:rFonts w:ascii="Courier New" w:hAnsi="Courier New" w:cs="Courier New" w:hint="default"/>
      </w:rPr>
    </w:lvl>
    <w:lvl w:ilvl="3" w:tplc="4322E95C">
      <w:start w:val="1"/>
      <w:numFmt w:val="decimal"/>
      <w:lvlText w:val="%4."/>
      <w:lvlJc w:val="left"/>
      <w:pPr>
        <w:ind w:left="2520" w:hanging="360"/>
      </w:pPr>
      <w:rPr>
        <w:b/>
        <w:color w:val="FFFFFF" w:themeColor="background1"/>
      </w:rPr>
    </w:lvl>
    <w:lvl w:ilvl="4" w:tplc="14090019">
      <w:start w:val="1"/>
      <w:numFmt w:val="lowerLetter"/>
      <w:lvlText w:val="%5."/>
      <w:lvlJc w:val="left"/>
      <w:pPr>
        <w:ind w:left="3240" w:hanging="360"/>
      </w:pPr>
    </w:lvl>
    <w:lvl w:ilvl="5" w:tplc="35A8DB0A">
      <w:start w:val="1"/>
      <w:numFmt w:val="lowerRoman"/>
      <w:lvlText w:val="%6."/>
      <w:lvlJc w:val="right"/>
      <w:pPr>
        <w:ind w:left="3960" w:hanging="180"/>
      </w:pPr>
      <w:rPr>
        <w:b w:val="0"/>
      </w:r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46CA7A0A"/>
    <w:multiLevelType w:val="hybridMultilevel"/>
    <w:tmpl w:val="2F6A7996"/>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F6C2C60"/>
    <w:multiLevelType w:val="hybridMultilevel"/>
    <w:tmpl w:val="3A2622C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52357B23"/>
    <w:multiLevelType w:val="hybridMultilevel"/>
    <w:tmpl w:val="7DAEDA36"/>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546B5ED0"/>
    <w:multiLevelType w:val="hybridMultilevel"/>
    <w:tmpl w:val="3C5C00F6"/>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7">
      <w:start w:val="1"/>
      <w:numFmt w:val="lowerLetter"/>
      <w:lvlText w:val="%3)"/>
      <w:lvlJc w:val="lef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BBC053C"/>
    <w:multiLevelType w:val="hybridMultilevel"/>
    <w:tmpl w:val="3850A2EC"/>
    <w:lvl w:ilvl="0" w:tplc="1409000F">
      <w:start w:val="1"/>
      <w:numFmt w:val="decimal"/>
      <w:lvlText w:val="%1."/>
      <w:lvlJc w:val="left"/>
      <w:pPr>
        <w:ind w:left="720" w:hanging="360"/>
      </w:pPr>
    </w:lvl>
    <w:lvl w:ilvl="1" w:tplc="14090017">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D71B62"/>
    <w:multiLevelType w:val="hybridMultilevel"/>
    <w:tmpl w:val="6540D04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4"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15:restartNumberingAfterBreak="0">
    <w:nsid w:val="700B37D3"/>
    <w:multiLevelType w:val="hybridMultilevel"/>
    <w:tmpl w:val="941C89B6"/>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8" w15:restartNumberingAfterBreak="0">
    <w:nsid w:val="703D33E6"/>
    <w:multiLevelType w:val="hybridMultilevel"/>
    <w:tmpl w:val="69EAA42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7">
      <w:start w:val="1"/>
      <w:numFmt w:val="lowerLetter"/>
      <w:lvlText w:val="%3)"/>
      <w:lvlJc w:val="lef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0" w15:restartNumberingAfterBreak="0">
    <w:nsid w:val="772C2563"/>
    <w:multiLevelType w:val="hybridMultilevel"/>
    <w:tmpl w:val="1562B142"/>
    <w:lvl w:ilvl="0" w:tplc="1409000F">
      <w:start w:val="1"/>
      <w:numFmt w:val="decimal"/>
      <w:lvlText w:val="%1."/>
      <w:lvlJc w:val="left"/>
      <w:pPr>
        <w:ind w:left="720" w:hanging="360"/>
      </w:pPr>
    </w:lvl>
    <w:lvl w:ilvl="1" w:tplc="14090017">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1" w15:restartNumberingAfterBreak="0">
    <w:nsid w:val="7BFE1DF3"/>
    <w:multiLevelType w:val="hybridMultilevel"/>
    <w:tmpl w:val="D8E6825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8"/>
  </w:num>
  <w:num w:numId="8">
    <w:abstractNumId w:val="30"/>
  </w:num>
  <w:num w:numId="9">
    <w:abstractNumId w:val="21"/>
  </w:num>
  <w:num w:numId="10">
    <w:abstractNumId w:val="13"/>
  </w:num>
  <w:num w:numId="11">
    <w:abstractNumId w:val="32"/>
  </w:num>
  <w:num w:numId="12">
    <w:abstractNumId w:val="34"/>
  </w:num>
  <w:num w:numId="13">
    <w:abstractNumId w:val="36"/>
  </w:num>
  <w:num w:numId="14">
    <w:abstractNumId w:val="9"/>
  </w:num>
  <w:num w:numId="15">
    <w:abstractNumId w:val="19"/>
  </w:num>
  <w:num w:numId="16">
    <w:abstractNumId w:val="39"/>
  </w:num>
  <w:num w:numId="17">
    <w:abstractNumId w:val="35"/>
  </w:num>
  <w:num w:numId="18">
    <w:abstractNumId w:val="33"/>
  </w:num>
  <w:num w:numId="19">
    <w:abstractNumId w:val="24"/>
  </w:num>
  <w:num w:numId="20">
    <w:abstractNumId w:val="20"/>
  </w:num>
  <w:num w:numId="21">
    <w:abstractNumId w:val="12"/>
  </w:num>
  <w:num w:numId="22">
    <w:abstractNumId w:val="8"/>
  </w:num>
  <w:num w:numId="23">
    <w:abstractNumId w:val="15"/>
  </w:num>
  <w:num w:numId="24">
    <w:abstractNumId w:val="11"/>
  </w:num>
  <w:num w:numId="25">
    <w:abstractNumId w:val="29"/>
  </w:num>
  <w:num w:numId="26">
    <w:abstractNumId w:val="7"/>
  </w:num>
  <w:num w:numId="27">
    <w:abstractNumId w:val="6"/>
  </w:num>
  <w:num w:numId="28">
    <w:abstractNumId w:val="37"/>
  </w:num>
  <w:num w:numId="29">
    <w:abstractNumId w:val="25"/>
  </w:num>
  <w:num w:numId="30">
    <w:abstractNumId w:val="10"/>
  </w:num>
  <w:num w:numId="31">
    <w:abstractNumId w:val="26"/>
  </w:num>
  <w:num w:numId="32">
    <w:abstractNumId w:val="16"/>
  </w:num>
  <w:num w:numId="33">
    <w:abstractNumId w:val="31"/>
  </w:num>
  <w:num w:numId="34">
    <w:abstractNumId w:val="40"/>
  </w:num>
  <w:num w:numId="35">
    <w:abstractNumId w:val="41"/>
  </w:num>
  <w:num w:numId="36">
    <w:abstractNumId w:val="14"/>
  </w:num>
  <w:num w:numId="37">
    <w:abstractNumId w:val="27"/>
  </w:num>
  <w:num w:numId="38">
    <w:abstractNumId w:val="38"/>
  </w:num>
  <w:num w:numId="39">
    <w:abstractNumId w:val="18"/>
  </w:num>
  <w:num w:numId="40">
    <w:abstractNumId w:val="17"/>
  </w:num>
  <w:num w:numId="41">
    <w:abstractNumId w:val="22"/>
  </w:num>
  <w:num w:numId="4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A5"/>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97988"/>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56ECB"/>
    <w:rsid w:val="0016433D"/>
    <w:rsid w:val="001711EA"/>
    <w:rsid w:val="00184C0F"/>
    <w:rsid w:val="001A5F55"/>
    <w:rsid w:val="001C0031"/>
    <w:rsid w:val="001C0C30"/>
    <w:rsid w:val="001D0111"/>
    <w:rsid w:val="001D5B98"/>
    <w:rsid w:val="001D7EAE"/>
    <w:rsid w:val="001E64FC"/>
    <w:rsid w:val="001F0724"/>
    <w:rsid w:val="001F5DAB"/>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167E5"/>
    <w:rsid w:val="0032132E"/>
    <w:rsid w:val="00330820"/>
    <w:rsid w:val="00334557"/>
    <w:rsid w:val="00345E21"/>
    <w:rsid w:val="003465C8"/>
    <w:rsid w:val="00350FF4"/>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6FEC"/>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65454"/>
    <w:rsid w:val="00472A55"/>
    <w:rsid w:val="00476068"/>
    <w:rsid w:val="004763B3"/>
    <w:rsid w:val="00477619"/>
    <w:rsid w:val="00486E6E"/>
    <w:rsid w:val="004875DF"/>
    <w:rsid w:val="00487C1D"/>
    <w:rsid w:val="00494C6F"/>
    <w:rsid w:val="004A5823"/>
    <w:rsid w:val="004B0AAF"/>
    <w:rsid w:val="004B214C"/>
    <w:rsid w:val="004B3924"/>
    <w:rsid w:val="004C063C"/>
    <w:rsid w:val="004C4DDD"/>
    <w:rsid w:val="004C5F40"/>
    <w:rsid w:val="004C6953"/>
    <w:rsid w:val="004C7001"/>
    <w:rsid w:val="004D1706"/>
    <w:rsid w:val="004D243F"/>
    <w:rsid w:val="004D7473"/>
    <w:rsid w:val="004F2E8A"/>
    <w:rsid w:val="004F55E1"/>
    <w:rsid w:val="00501C4B"/>
    <w:rsid w:val="005028A7"/>
    <w:rsid w:val="0050576A"/>
    <w:rsid w:val="005078B7"/>
    <w:rsid w:val="00510D73"/>
    <w:rsid w:val="00512ACB"/>
    <w:rsid w:val="0052216D"/>
    <w:rsid w:val="00525780"/>
    <w:rsid w:val="00526115"/>
    <w:rsid w:val="00533FAF"/>
    <w:rsid w:val="00534285"/>
    <w:rsid w:val="005366B6"/>
    <w:rsid w:val="00554BCD"/>
    <w:rsid w:val="00555F60"/>
    <w:rsid w:val="005605A5"/>
    <w:rsid w:val="00560B3C"/>
    <w:rsid w:val="00561A97"/>
    <w:rsid w:val="00561E5C"/>
    <w:rsid w:val="00563DAC"/>
    <w:rsid w:val="00563F92"/>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07B54"/>
    <w:rsid w:val="00617298"/>
    <w:rsid w:val="00637753"/>
    <w:rsid w:val="00660CE4"/>
    <w:rsid w:val="00662716"/>
    <w:rsid w:val="006768C5"/>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56E2"/>
    <w:rsid w:val="007068C8"/>
    <w:rsid w:val="00715B8F"/>
    <w:rsid w:val="0073106E"/>
    <w:rsid w:val="0073265E"/>
    <w:rsid w:val="00755142"/>
    <w:rsid w:val="00756BB7"/>
    <w:rsid w:val="0075764B"/>
    <w:rsid w:val="00760C01"/>
    <w:rsid w:val="00761293"/>
    <w:rsid w:val="00766E12"/>
    <w:rsid w:val="00767C04"/>
    <w:rsid w:val="007736A2"/>
    <w:rsid w:val="007A6226"/>
    <w:rsid w:val="007B3C61"/>
    <w:rsid w:val="007D1918"/>
    <w:rsid w:val="007F03F2"/>
    <w:rsid w:val="008031DF"/>
    <w:rsid w:val="00804664"/>
    <w:rsid w:val="008065D7"/>
    <w:rsid w:val="008111A3"/>
    <w:rsid w:val="00816E30"/>
    <w:rsid w:val="0082264B"/>
    <w:rsid w:val="0082765B"/>
    <w:rsid w:val="008352B1"/>
    <w:rsid w:val="008353E7"/>
    <w:rsid w:val="00835BD7"/>
    <w:rsid w:val="008428E8"/>
    <w:rsid w:val="00843D71"/>
    <w:rsid w:val="00846F11"/>
    <w:rsid w:val="0084745A"/>
    <w:rsid w:val="008504D0"/>
    <w:rsid w:val="00854699"/>
    <w:rsid w:val="00870045"/>
    <w:rsid w:val="00876E5F"/>
    <w:rsid w:val="00884A12"/>
    <w:rsid w:val="00890CE4"/>
    <w:rsid w:val="00891ED7"/>
    <w:rsid w:val="008B7B54"/>
    <w:rsid w:val="008C3187"/>
    <w:rsid w:val="008C5E4F"/>
    <w:rsid w:val="008D63B7"/>
    <w:rsid w:val="008D6A03"/>
    <w:rsid w:val="008D6CA7"/>
    <w:rsid w:val="008E508C"/>
    <w:rsid w:val="008E7FEE"/>
    <w:rsid w:val="008F03AD"/>
    <w:rsid w:val="008F2F06"/>
    <w:rsid w:val="008F31F5"/>
    <w:rsid w:val="008F67F5"/>
    <w:rsid w:val="008F6BCE"/>
    <w:rsid w:val="00900D4B"/>
    <w:rsid w:val="00905F9B"/>
    <w:rsid w:val="00913E95"/>
    <w:rsid w:val="009170B9"/>
    <w:rsid w:val="00923A87"/>
    <w:rsid w:val="00926E36"/>
    <w:rsid w:val="00927482"/>
    <w:rsid w:val="00933B9D"/>
    <w:rsid w:val="00936FF5"/>
    <w:rsid w:val="0094654B"/>
    <w:rsid w:val="0095112B"/>
    <w:rsid w:val="00953AC0"/>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07757"/>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621C2"/>
    <w:rsid w:val="00A71F46"/>
    <w:rsid w:val="00A77512"/>
    <w:rsid w:val="00A863E3"/>
    <w:rsid w:val="00A94161"/>
    <w:rsid w:val="00A97BFB"/>
    <w:rsid w:val="00AB0BBC"/>
    <w:rsid w:val="00AB3A92"/>
    <w:rsid w:val="00AB478B"/>
    <w:rsid w:val="00AB47AC"/>
    <w:rsid w:val="00AB4AD9"/>
    <w:rsid w:val="00AD6E77"/>
    <w:rsid w:val="00AD7A25"/>
    <w:rsid w:val="00AE2666"/>
    <w:rsid w:val="00AE478C"/>
    <w:rsid w:val="00AF354D"/>
    <w:rsid w:val="00AF3A5A"/>
    <w:rsid w:val="00AF3E15"/>
    <w:rsid w:val="00AF5218"/>
    <w:rsid w:val="00AF60A0"/>
    <w:rsid w:val="00AF63A5"/>
    <w:rsid w:val="00B01A6F"/>
    <w:rsid w:val="00B0480E"/>
    <w:rsid w:val="00B1026A"/>
    <w:rsid w:val="00B157E0"/>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D151C"/>
    <w:rsid w:val="00BE3BC7"/>
    <w:rsid w:val="00BE4777"/>
    <w:rsid w:val="00BF1AB7"/>
    <w:rsid w:val="00BF7FE9"/>
    <w:rsid w:val="00C03596"/>
    <w:rsid w:val="00C05EEC"/>
    <w:rsid w:val="00C15A13"/>
    <w:rsid w:val="00C238D9"/>
    <w:rsid w:val="00C24A9D"/>
    <w:rsid w:val="00C2677E"/>
    <w:rsid w:val="00C31542"/>
    <w:rsid w:val="00C5028E"/>
    <w:rsid w:val="00C5288C"/>
    <w:rsid w:val="00C53661"/>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8687C"/>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543A2"/>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4928"/>
    <w:rsid w:val="00F05606"/>
    <w:rsid w:val="00F105F5"/>
    <w:rsid w:val="00F1075A"/>
    <w:rsid w:val="00F14CFC"/>
    <w:rsid w:val="00F22E82"/>
    <w:rsid w:val="00F2483A"/>
    <w:rsid w:val="00F337BF"/>
    <w:rsid w:val="00F33D14"/>
    <w:rsid w:val="00F473B6"/>
    <w:rsid w:val="00F504E2"/>
    <w:rsid w:val="00F52E57"/>
    <w:rsid w:val="00F53E06"/>
    <w:rsid w:val="00F54188"/>
    <w:rsid w:val="00F54CC0"/>
    <w:rsid w:val="00F727A5"/>
    <w:rsid w:val="00F847A9"/>
    <w:rsid w:val="00FA5FE9"/>
    <w:rsid w:val="00FA67D2"/>
    <w:rsid w:val="00FB1990"/>
    <w:rsid w:val="00FB302F"/>
    <w:rsid w:val="00FB5A92"/>
    <w:rsid w:val="00FC1C69"/>
    <w:rsid w:val="00FC3739"/>
    <w:rsid w:val="00FC63EC"/>
    <w:rsid w:val="00FE2746"/>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92DD9E"/>
  <w15:chartTrackingRefBased/>
  <w15:docId w15:val="{03D01A56-5993-4400-8FF3-6C7FC892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3A5"/>
    <w:pPr>
      <w:keepLines/>
    </w:pPr>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TitleChar">
    <w:name w:val="Title Char"/>
    <w:basedOn w:val="DefaultParagraphFont"/>
    <w:link w:val="Title"/>
    <w:uiPriority w:val="99"/>
    <w:rsid w:val="00AF63A5"/>
    <w:rPr>
      <w:b/>
      <w:color w:val="1F546B"/>
      <w:sz w:val="80"/>
      <w:szCs w:val="80"/>
      <w:lang w:eastAsia="en-US"/>
    </w:rPr>
  </w:style>
  <w:style w:type="paragraph" w:customStyle="1" w:styleId="Paragraph">
    <w:name w:val="Paragraph"/>
    <w:basedOn w:val="Normal"/>
    <w:rsid w:val="00AF63A5"/>
    <w:pPr>
      <w:keepLines w:val="0"/>
      <w:spacing w:after="120"/>
      <w:jc w:val="both"/>
    </w:pPr>
    <w:rPr>
      <w:rFonts w:ascii="Times New Roman Mäori" w:eastAsia="Times New Roman" w:hAnsi="Times New Roman Mäo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BCAA-0C7D-46E6-8BAD-12EC1E5F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3659</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Beattie</dc:creator>
  <cp:keywords/>
  <dc:description/>
  <cp:lastModifiedBy>Gavin Beattie</cp:lastModifiedBy>
  <cp:revision>17</cp:revision>
  <cp:lastPrinted>2019-04-07T22:59:00Z</cp:lastPrinted>
  <dcterms:created xsi:type="dcterms:W3CDTF">2019-04-05T01:30:00Z</dcterms:created>
  <dcterms:modified xsi:type="dcterms:W3CDTF">2019-04-07T22:59:00Z</dcterms:modified>
</cp:coreProperties>
</file>